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6C" w:rsidRDefault="003D7F95" w:rsidP="009C620B">
      <w:pPr>
        <w:spacing w:after="0" w:line="360" w:lineRule="auto"/>
        <w:rPr>
          <w:rFonts w:ascii="Arial" w:hAnsi="Arial" w:cs="Arial"/>
          <w:color w:val="FFFFFF" w:themeColor="background1"/>
          <w:sz w:val="32"/>
          <w:szCs w:val="32"/>
        </w:rPr>
      </w:pPr>
      <w:bookmarkStart w:id="0" w:name="_GoBack"/>
      <w:bookmarkEnd w:id="0"/>
      <w:r w:rsidRPr="009C620B">
        <w:rPr>
          <w:rFonts w:ascii="Arial" w:hAnsi="Arial" w:cs="Arial"/>
          <w:noProof/>
          <w:color w:val="FFFFFF" w:themeColor="background1"/>
          <w:sz w:val="32"/>
          <w:szCs w:val="32"/>
          <w:lang w:eastAsia="es-CO"/>
        </w:rPr>
        <mc:AlternateContent>
          <mc:Choice Requires="wps">
            <w:drawing>
              <wp:anchor distT="0" distB="0" distL="114300" distR="114300" simplePos="0" relativeHeight="251661312" behindDoc="0" locked="0" layoutInCell="1" allowOverlap="1" wp14:anchorId="55C2A989" wp14:editId="27EED3B9">
                <wp:simplePos x="0" y="0"/>
                <wp:positionH relativeFrom="column">
                  <wp:posOffset>2463083</wp:posOffset>
                </wp:positionH>
                <wp:positionV relativeFrom="paragraph">
                  <wp:posOffset>6425427</wp:posOffset>
                </wp:positionV>
                <wp:extent cx="2374265" cy="140398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E10B9" w:rsidRPr="009C620B" w:rsidRDefault="00CE10B9" w:rsidP="009C620B">
                            <w:pPr>
                              <w:spacing w:after="0"/>
                              <w:jc w:val="center"/>
                              <w:rPr>
                                <w:rFonts w:ascii="Arial" w:hAnsi="Arial" w:cs="Arial"/>
                                <w:b/>
                                <w:color w:val="FFFFFF" w:themeColor="background1"/>
                                <w:sz w:val="30"/>
                                <w:szCs w:val="30"/>
                              </w:rPr>
                            </w:pPr>
                            <w:r w:rsidRPr="009C620B">
                              <w:rPr>
                                <w:rFonts w:ascii="Arial" w:hAnsi="Arial" w:cs="Arial"/>
                                <w:b/>
                                <w:color w:val="FFFFFF" w:themeColor="background1"/>
                                <w:sz w:val="30"/>
                                <w:szCs w:val="30"/>
                              </w:rPr>
                              <w:t>Bogotá D.C.</w:t>
                            </w:r>
                          </w:p>
                          <w:p w:rsidR="00CE10B9" w:rsidRPr="009C620B" w:rsidRDefault="00115347" w:rsidP="009C620B">
                            <w:pPr>
                              <w:spacing w:after="0"/>
                              <w:jc w:val="center"/>
                              <w:rPr>
                                <w:rFonts w:ascii="Arial" w:hAnsi="Arial" w:cs="Arial"/>
                                <w:b/>
                                <w:color w:val="FFFFFF" w:themeColor="background1"/>
                                <w:sz w:val="30"/>
                                <w:szCs w:val="30"/>
                              </w:rPr>
                            </w:pPr>
                            <w:r>
                              <w:rPr>
                                <w:rFonts w:ascii="Arial" w:hAnsi="Arial" w:cs="Arial"/>
                                <w:b/>
                                <w:color w:val="FFFFFF" w:themeColor="background1"/>
                                <w:sz w:val="30"/>
                                <w:szCs w:val="30"/>
                              </w:rPr>
                              <w:t>Enero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3.95pt;margin-top:505.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" filled="f" stroked="f">
                <v:textbox style="mso-fit-shape-to-text:t">
                  <w:txbxContent>
                    <w:p w:rsidR="00CE10B9" w:rsidRPr="009C620B" w:rsidRDefault="00CE10B9" w:rsidP="009C620B">
                      <w:pPr>
                        <w:spacing w:after="0"/>
                        <w:jc w:val="center"/>
                        <w:rPr>
                          <w:rFonts w:ascii="Arial" w:hAnsi="Arial" w:cs="Arial"/>
                          <w:b/>
                          <w:color w:val="FFFFFF" w:themeColor="background1"/>
                          <w:sz w:val="30"/>
                          <w:szCs w:val="30"/>
                        </w:rPr>
                      </w:pPr>
                      <w:r w:rsidRPr="009C620B">
                        <w:rPr>
                          <w:rFonts w:ascii="Arial" w:hAnsi="Arial" w:cs="Arial"/>
                          <w:b/>
                          <w:color w:val="FFFFFF" w:themeColor="background1"/>
                          <w:sz w:val="30"/>
                          <w:szCs w:val="30"/>
                        </w:rPr>
                        <w:t>Bogotá D.C.</w:t>
                      </w:r>
                    </w:p>
                    <w:p w:rsidR="00CE10B9" w:rsidRPr="009C620B" w:rsidRDefault="00115347" w:rsidP="009C620B">
                      <w:pPr>
                        <w:spacing w:after="0"/>
                        <w:jc w:val="center"/>
                        <w:rPr>
                          <w:rFonts w:ascii="Arial" w:hAnsi="Arial" w:cs="Arial"/>
                          <w:b/>
                          <w:color w:val="FFFFFF" w:themeColor="background1"/>
                          <w:sz w:val="30"/>
                          <w:szCs w:val="30"/>
                        </w:rPr>
                      </w:pPr>
                      <w:r>
                        <w:rPr>
                          <w:rFonts w:ascii="Arial" w:hAnsi="Arial" w:cs="Arial"/>
                          <w:b/>
                          <w:color w:val="FFFFFF" w:themeColor="background1"/>
                          <w:sz w:val="30"/>
                          <w:szCs w:val="30"/>
                        </w:rPr>
                        <w:t>Enero 2019</w:t>
                      </w:r>
                    </w:p>
                  </w:txbxContent>
                </v:textbox>
              </v:shape>
            </w:pict>
          </mc:Fallback>
        </mc:AlternateContent>
      </w:r>
      <w:r w:rsidRPr="009C620B">
        <w:rPr>
          <w:rFonts w:ascii="Arial" w:hAnsi="Arial" w:cs="Arial"/>
          <w:noProof/>
          <w:color w:val="FFFFFF" w:themeColor="background1"/>
          <w:sz w:val="32"/>
          <w:szCs w:val="32"/>
          <w:lang w:eastAsia="es-CO"/>
        </w:rPr>
        <mc:AlternateContent>
          <mc:Choice Requires="wps">
            <w:drawing>
              <wp:anchor distT="0" distB="0" distL="114300" distR="114300" simplePos="0" relativeHeight="251667456" behindDoc="0" locked="0" layoutInCell="1" allowOverlap="1" wp14:anchorId="24392C48" wp14:editId="40648A7E">
                <wp:simplePos x="0" y="0"/>
                <wp:positionH relativeFrom="column">
                  <wp:posOffset>3683993</wp:posOffset>
                </wp:positionH>
                <wp:positionV relativeFrom="paragraph">
                  <wp:posOffset>7410753</wp:posOffset>
                </wp:positionV>
                <wp:extent cx="2374265" cy="14039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D7F95" w:rsidRPr="003D7F95" w:rsidRDefault="003D7F95" w:rsidP="003D7F95">
                            <w:pPr>
                              <w:spacing w:after="0"/>
                              <w:jc w:val="center"/>
                              <w:rPr>
                                <w:rFonts w:ascii="Arial" w:hAnsi="Arial" w:cs="Arial"/>
                                <w:b/>
                                <w:color w:val="FFFFFF" w:themeColor="background1"/>
                                <w:sz w:val="18"/>
                                <w:szCs w:val="18"/>
                              </w:rPr>
                            </w:pPr>
                            <w:r w:rsidRPr="003D7F95">
                              <w:rPr>
                                <w:rFonts w:ascii="Arial" w:hAnsi="Arial" w:cs="Arial"/>
                                <w:b/>
                                <w:color w:val="FFFFFF" w:themeColor="background1"/>
                                <w:sz w:val="18"/>
                                <w:szCs w:val="18"/>
                              </w:rPr>
                              <w:t>Elaboró Oficina Asesora de Planeación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90.1pt;margin-top:583.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" filled="f" stroked="f">
                <v:textbox style="mso-fit-shape-to-text:t">
                  <w:txbxContent>
                    <w:p w:rsidR="003D7F95" w:rsidRPr="003D7F95" w:rsidRDefault="003D7F95" w:rsidP="003D7F95">
                      <w:pPr>
                        <w:spacing w:after="0"/>
                        <w:jc w:val="center"/>
                        <w:rPr>
                          <w:rFonts w:ascii="Arial" w:hAnsi="Arial" w:cs="Arial"/>
                          <w:b/>
                          <w:color w:val="FFFFFF" w:themeColor="background1"/>
                          <w:sz w:val="18"/>
                          <w:szCs w:val="18"/>
                        </w:rPr>
                      </w:pPr>
                      <w:r w:rsidRPr="003D7F95">
                        <w:rPr>
                          <w:rFonts w:ascii="Arial" w:hAnsi="Arial" w:cs="Arial"/>
                          <w:b/>
                          <w:color w:val="FFFFFF" w:themeColor="background1"/>
                          <w:sz w:val="18"/>
                          <w:szCs w:val="18"/>
                        </w:rPr>
                        <w:t>Elaboró Oficina Asesora de Planeación</w:t>
                      </w:r>
                    </w:p>
                  </w:txbxContent>
                </v:textbox>
              </v:shape>
            </w:pict>
          </mc:Fallback>
        </mc:AlternateContent>
      </w:r>
      <w:r w:rsidR="009C620B" w:rsidRPr="009C620B">
        <w:rPr>
          <w:rFonts w:ascii="Arial" w:hAnsi="Arial" w:cs="Arial"/>
          <w:noProof/>
          <w:color w:val="FFFFFF" w:themeColor="background1"/>
          <w:sz w:val="32"/>
          <w:szCs w:val="32"/>
          <w:lang w:eastAsia="es-CO"/>
        </w:rPr>
        <mc:AlternateContent>
          <mc:Choice Requires="wps">
            <w:drawing>
              <wp:anchor distT="0" distB="0" distL="114300" distR="114300" simplePos="0" relativeHeight="251659264" behindDoc="0" locked="0" layoutInCell="1" allowOverlap="1" wp14:anchorId="6C21D06C" wp14:editId="6845B877">
                <wp:simplePos x="0" y="0"/>
                <wp:positionH relativeFrom="column">
                  <wp:posOffset>1241646</wp:posOffset>
                </wp:positionH>
                <wp:positionV relativeFrom="paragraph">
                  <wp:posOffset>3519336</wp:posOffset>
                </wp:positionV>
                <wp:extent cx="4166483"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483" cy="1403985"/>
                        </a:xfrm>
                        <a:prstGeom prst="rect">
                          <a:avLst/>
                        </a:prstGeom>
                        <a:noFill/>
                        <a:ln w="9525">
                          <a:noFill/>
                          <a:miter lim="800000"/>
                          <a:headEnd/>
                          <a:tailEnd/>
                        </a:ln>
                      </wps:spPr>
                      <wps:txbx>
                        <w:txbxContent>
                          <w:p w:rsidR="00CE10B9" w:rsidRDefault="00CE10B9" w:rsidP="009C620B">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CIERRE PARCIAL</w:t>
                            </w:r>
                          </w:p>
                          <w:p w:rsidR="00CE10B9" w:rsidRPr="009C620B" w:rsidRDefault="00CE10B9" w:rsidP="006E5D8F">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INDICADORES PND 2014-2018</w:t>
                            </w:r>
                          </w:p>
                          <w:p w:rsidR="00CE10B9" w:rsidRDefault="00CE10B9" w:rsidP="009C620B">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“TODOS POR UN NUEVO PAÍS”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7.75pt;margin-top:277.1pt;width:328.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" filled="f" stroked="f">
                <v:textbox style="mso-fit-shape-to-text:t">
                  <w:txbxContent>
                    <w:p w:rsidR="00CE10B9" w:rsidRDefault="00CE10B9" w:rsidP="009C620B">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CIERRE PARCIAL</w:t>
                      </w:r>
                    </w:p>
                    <w:p w:rsidR="00CE10B9" w:rsidRPr="009C620B" w:rsidRDefault="00CE10B9" w:rsidP="006E5D8F">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INDICADORES PND 2014-2018</w:t>
                      </w:r>
                    </w:p>
                    <w:p w:rsidR="00CE10B9" w:rsidRDefault="00CE10B9" w:rsidP="009C620B">
                      <w:pPr>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“TODOS POR UN NUEVO PAÍS”</w:t>
                      </w:r>
                    </w:p>
                  </w:txbxContent>
                </v:textbox>
              </v:shape>
            </w:pict>
          </mc:Fallback>
        </mc:AlternateContent>
      </w:r>
      <w:r w:rsidR="009C620B">
        <w:rPr>
          <w:rFonts w:ascii="Arial" w:hAnsi="Arial" w:cs="Arial"/>
          <w:noProof/>
          <w:color w:val="FFFFFF" w:themeColor="background1"/>
          <w:sz w:val="32"/>
          <w:szCs w:val="32"/>
          <w:lang w:eastAsia="es-CO"/>
        </w:rPr>
        <w:drawing>
          <wp:inline distT="0" distB="0" distL="0" distR="0" wp14:anchorId="61BC592D" wp14:editId="11B60577">
            <wp:extent cx="5932639" cy="8095455"/>
            <wp:effectExtent l="0" t="0" r="0" b="127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png"/>
                    <pic:cNvPicPr/>
                  </pic:nvPicPr>
                  <pic:blipFill>
                    <a:blip r:embed="rId9">
                      <a:extLst>
                        <a:ext uri="{28A0092B-C50C-407E-A947-70E740481C1C}">
                          <a14:useLocalDpi xmlns:a14="http://schemas.microsoft.com/office/drawing/2010/main" val="0"/>
                        </a:ext>
                      </a:extLst>
                    </a:blip>
                    <a:stretch>
                      <a:fillRect/>
                    </a:stretch>
                  </pic:blipFill>
                  <pic:spPr>
                    <a:xfrm>
                      <a:off x="0" y="0"/>
                      <a:ext cx="5936109" cy="8100190"/>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val="es-ES" w:eastAsia="en-US"/>
        </w:rPr>
        <w:id w:val="1818214747"/>
        <w:docPartObj>
          <w:docPartGallery w:val="Table of Contents"/>
          <w:docPartUnique/>
        </w:docPartObj>
      </w:sdtPr>
      <w:sdtEndPr/>
      <w:sdtContent>
        <w:p w:rsidR="009C620B" w:rsidRDefault="009C620B" w:rsidP="009C620B">
          <w:pPr>
            <w:pStyle w:val="TtulodeTDC"/>
            <w:jc w:val="center"/>
            <w:rPr>
              <w:lang w:val="es-ES"/>
            </w:rPr>
          </w:pPr>
          <w:r>
            <w:rPr>
              <w:lang w:val="es-ES"/>
            </w:rPr>
            <w:t>TABLA DE CONTENIDO</w:t>
          </w:r>
        </w:p>
        <w:p w:rsidR="009C620B" w:rsidRPr="009C620B" w:rsidRDefault="009C620B" w:rsidP="009C620B">
          <w:pPr>
            <w:rPr>
              <w:lang w:val="es-ES" w:eastAsia="es-CO"/>
            </w:rPr>
          </w:pPr>
        </w:p>
        <w:p w:rsidR="00115347" w:rsidRDefault="009C620B">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536727063" w:history="1">
            <w:r w:rsidR="00115347" w:rsidRPr="003A3FFD">
              <w:rPr>
                <w:rStyle w:val="Hipervnculo"/>
                <w:rFonts w:ascii="Arial" w:hAnsi="Arial" w:cs="Arial"/>
                <w:noProof/>
              </w:rPr>
              <w:t>INTRODUCCIÓN</w:t>
            </w:r>
            <w:r w:rsidR="00115347">
              <w:rPr>
                <w:noProof/>
                <w:webHidden/>
              </w:rPr>
              <w:tab/>
            </w:r>
            <w:r w:rsidR="00115347">
              <w:rPr>
                <w:noProof/>
                <w:webHidden/>
              </w:rPr>
              <w:fldChar w:fldCharType="begin"/>
            </w:r>
            <w:r w:rsidR="00115347">
              <w:rPr>
                <w:noProof/>
                <w:webHidden/>
              </w:rPr>
              <w:instrText xml:space="preserve"> PAGEREF _Toc536727063 \h </w:instrText>
            </w:r>
            <w:r w:rsidR="00115347">
              <w:rPr>
                <w:noProof/>
                <w:webHidden/>
              </w:rPr>
            </w:r>
            <w:r w:rsidR="00115347">
              <w:rPr>
                <w:noProof/>
                <w:webHidden/>
              </w:rPr>
              <w:fldChar w:fldCharType="separate"/>
            </w:r>
            <w:r w:rsidR="00115347">
              <w:rPr>
                <w:noProof/>
                <w:webHidden/>
              </w:rPr>
              <w:t>3</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4" w:history="1">
            <w:r w:rsidR="00115347" w:rsidRPr="003A3FFD">
              <w:rPr>
                <w:rStyle w:val="Hipervnculo"/>
                <w:rFonts w:ascii="Arial" w:hAnsi="Arial" w:cs="Arial"/>
                <w:noProof/>
              </w:rPr>
              <w:t>1.</w:t>
            </w:r>
            <w:r w:rsidR="00115347">
              <w:rPr>
                <w:rFonts w:eastAsiaTheme="minorEastAsia"/>
                <w:noProof/>
                <w:lang w:eastAsia="es-CO"/>
              </w:rPr>
              <w:tab/>
            </w:r>
            <w:r w:rsidR="00115347" w:rsidRPr="003A3FFD">
              <w:rPr>
                <w:rStyle w:val="Hipervnculo"/>
                <w:rFonts w:ascii="Arial" w:hAnsi="Arial" w:cs="Arial"/>
                <w:noProof/>
              </w:rPr>
              <w:t>IMPULSAR LA LECTURA Y LA ESCRITURA. “LEER ES MI CUENTO”: UNA APUESTA POR LA EQUIDAD</w:t>
            </w:r>
            <w:r w:rsidR="00115347">
              <w:rPr>
                <w:noProof/>
                <w:webHidden/>
              </w:rPr>
              <w:tab/>
            </w:r>
            <w:r w:rsidR="00115347">
              <w:rPr>
                <w:noProof/>
                <w:webHidden/>
              </w:rPr>
              <w:fldChar w:fldCharType="begin"/>
            </w:r>
            <w:r w:rsidR="00115347">
              <w:rPr>
                <w:noProof/>
                <w:webHidden/>
              </w:rPr>
              <w:instrText xml:space="preserve"> PAGEREF _Toc536727064 \h </w:instrText>
            </w:r>
            <w:r w:rsidR="00115347">
              <w:rPr>
                <w:noProof/>
                <w:webHidden/>
              </w:rPr>
            </w:r>
            <w:r w:rsidR="00115347">
              <w:rPr>
                <w:noProof/>
                <w:webHidden/>
              </w:rPr>
              <w:fldChar w:fldCharType="separate"/>
            </w:r>
            <w:r w:rsidR="00115347">
              <w:rPr>
                <w:noProof/>
                <w:webHidden/>
              </w:rPr>
              <w:t>3</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5" w:history="1">
            <w:r w:rsidR="00115347" w:rsidRPr="003A3FFD">
              <w:rPr>
                <w:rStyle w:val="Hipervnculo"/>
                <w:rFonts w:ascii="Arial" w:hAnsi="Arial" w:cs="Arial"/>
                <w:noProof/>
              </w:rPr>
              <w:t>2.</w:t>
            </w:r>
            <w:r w:rsidR="00115347">
              <w:rPr>
                <w:rFonts w:eastAsiaTheme="minorEastAsia"/>
                <w:noProof/>
                <w:lang w:eastAsia="es-CO"/>
              </w:rPr>
              <w:tab/>
            </w:r>
            <w:r w:rsidR="00115347" w:rsidRPr="003A3FFD">
              <w:rPr>
                <w:rStyle w:val="Hipervnculo"/>
                <w:rFonts w:ascii="Arial" w:hAnsi="Arial" w:cs="Arial"/>
                <w:noProof/>
              </w:rPr>
              <w:t>FORTALECER LA INFRAESTRUCTURA CULTURAL Y CONSERVAR EL PATRIMONIO CULTURAL MATERIAL</w:t>
            </w:r>
            <w:r w:rsidR="00115347">
              <w:rPr>
                <w:noProof/>
                <w:webHidden/>
              </w:rPr>
              <w:tab/>
            </w:r>
            <w:r w:rsidR="00115347">
              <w:rPr>
                <w:noProof/>
                <w:webHidden/>
              </w:rPr>
              <w:fldChar w:fldCharType="begin"/>
            </w:r>
            <w:r w:rsidR="00115347">
              <w:rPr>
                <w:noProof/>
                <w:webHidden/>
              </w:rPr>
              <w:instrText xml:space="preserve"> PAGEREF _Toc536727065 \h </w:instrText>
            </w:r>
            <w:r w:rsidR="00115347">
              <w:rPr>
                <w:noProof/>
                <w:webHidden/>
              </w:rPr>
            </w:r>
            <w:r w:rsidR="00115347">
              <w:rPr>
                <w:noProof/>
                <w:webHidden/>
              </w:rPr>
              <w:fldChar w:fldCharType="separate"/>
            </w:r>
            <w:r w:rsidR="00115347">
              <w:rPr>
                <w:noProof/>
                <w:webHidden/>
              </w:rPr>
              <w:t>3</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6" w:history="1">
            <w:r w:rsidR="00115347" w:rsidRPr="003A3FFD">
              <w:rPr>
                <w:rStyle w:val="Hipervnculo"/>
                <w:rFonts w:ascii="Arial" w:hAnsi="Arial" w:cs="Arial"/>
                <w:noProof/>
              </w:rPr>
              <w:t>3.</w:t>
            </w:r>
            <w:r w:rsidR="00115347">
              <w:rPr>
                <w:rFonts w:eastAsiaTheme="minorEastAsia"/>
                <w:noProof/>
                <w:lang w:eastAsia="es-CO"/>
              </w:rPr>
              <w:tab/>
            </w:r>
            <w:r w:rsidR="00115347" w:rsidRPr="003A3FFD">
              <w:rPr>
                <w:rStyle w:val="Hipervnculo"/>
                <w:rFonts w:ascii="Arial" w:hAnsi="Arial" w:cs="Arial"/>
                <w:noProof/>
              </w:rPr>
              <w:t>EMPRENDER EN CULTURA, MÁS OPORTUNIDADES PARA EL DESARROLLO</w:t>
            </w:r>
            <w:r w:rsidR="00115347">
              <w:rPr>
                <w:noProof/>
                <w:webHidden/>
              </w:rPr>
              <w:tab/>
            </w:r>
            <w:r w:rsidR="00115347">
              <w:rPr>
                <w:noProof/>
                <w:webHidden/>
              </w:rPr>
              <w:fldChar w:fldCharType="begin"/>
            </w:r>
            <w:r w:rsidR="00115347">
              <w:rPr>
                <w:noProof/>
                <w:webHidden/>
              </w:rPr>
              <w:instrText xml:space="preserve"> PAGEREF _Toc536727066 \h </w:instrText>
            </w:r>
            <w:r w:rsidR="00115347">
              <w:rPr>
                <w:noProof/>
                <w:webHidden/>
              </w:rPr>
            </w:r>
            <w:r w:rsidR="00115347">
              <w:rPr>
                <w:noProof/>
                <w:webHidden/>
              </w:rPr>
              <w:fldChar w:fldCharType="separate"/>
            </w:r>
            <w:r w:rsidR="00115347">
              <w:rPr>
                <w:noProof/>
                <w:webHidden/>
              </w:rPr>
              <w:t>4</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7" w:history="1">
            <w:r w:rsidR="00115347" w:rsidRPr="003A3FFD">
              <w:rPr>
                <w:rStyle w:val="Hipervnculo"/>
                <w:rFonts w:ascii="Arial" w:hAnsi="Arial" w:cs="Arial"/>
                <w:noProof/>
              </w:rPr>
              <w:t>4.</w:t>
            </w:r>
            <w:r w:rsidR="00115347">
              <w:rPr>
                <w:rFonts w:eastAsiaTheme="minorEastAsia"/>
                <w:noProof/>
                <w:lang w:eastAsia="es-CO"/>
              </w:rPr>
              <w:tab/>
            </w:r>
            <w:r w:rsidR="00115347" w:rsidRPr="003A3FFD">
              <w:rPr>
                <w:rStyle w:val="Hipervnculo"/>
                <w:rFonts w:ascii="Arial" w:hAnsi="Arial" w:cs="Arial"/>
                <w:noProof/>
              </w:rPr>
              <w:t>FORTALECER LOS PROCESOS MUSICALES PARA LA CONVIVENCIA Y LA RECONCILIACIÓN.</w:t>
            </w:r>
            <w:r w:rsidR="00115347">
              <w:rPr>
                <w:noProof/>
                <w:webHidden/>
              </w:rPr>
              <w:tab/>
            </w:r>
            <w:r w:rsidR="00115347">
              <w:rPr>
                <w:noProof/>
                <w:webHidden/>
              </w:rPr>
              <w:fldChar w:fldCharType="begin"/>
            </w:r>
            <w:r w:rsidR="00115347">
              <w:rPr>
                <w:noProof/>
                <w:webHidden/>
              </w:rPr>
              <w:instrText xml:space="preserve"> PAGEREF _Toc536727067 \h </w:instrText>
            </w:r>
            <w:r w:rsidR="00115347">
              <w:rPr>
                <w:noProof/>
                <w:webHidden/>
              </w:rPr>
            </w:r>
            <w:r w:rsidR="00115347">
              <w:rPr>
                <w:noProof/>
                <w:webHidden/>
              </w:rPr>
              <w:fldChar w:fldCharType="separate"/>
            </w:r>
            <w:r w:rsidR="00115347">
              <w:rPr>
                <w:noProof/>
                <w:webHidden/>
              </w:rPr>
              <w:t>4</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8" w:history="1">
            <w:r w:rsidR="00115347" w:rsidRPr="003A3FFD">
              <w:rPr>
                <w:rStyle w:val="Hipervnculo"/>
                <w:rFonts w:ascii="Arial" w:hAnsi="Arial" w:cs="Arial"/>
                <w:noProof/>
              </w:rPr>
              <w:t>5.</w:t>
            </w:r>
            <w:r w:rsidR="00115347">
              <w:rPr>
                <w:rFonts w:eastAsiaTheme="minorEastAsia"/>
                <w:noProof/>
                <w:lang w:eastAsia="es-CO"/>
              </w:rPr>
              <w:tab/>
            </w:r>
            <w:r w:rsidR="00115347" w:rsidRPr="003A3FFD">
              <w:rPr>
                <w:rStyle w:val="Hipervnculo"/>
                <w:rFonts w:ascii="Arial" w:hAnsi="Arial" w:cs="Arial"/>
                <w:noProof/>
              </w:rPr>
              <w:t>VALORAR EL PATRIMONIO CULTURAL PARA EL FORTALECIMIENTO DE LAS IDENTIDADES Y LA MEMORIA</w:t>
            </w:r>
            <w:r w:rsidR="00115347">
              <w:rPr>
                <w:noProof/>
                <w:webHidden/>
              </w:rPr>
              <w:tab/>
            </w:r>
            <w:r w:rsidR="00115347">
              <w:rPr>
                <w:noProof/>
                <w:webHidden/>
              </w:rPr>
              <w:fldChar w:fldCharType="begin"/>
            </w:r>
            <w:r w:rsidR="00115347">
              <w:rPr>
                <w:noProof/>
                <w:webHidden/>
              </w:rPr>
              <w:instrText xml:space="preserve"> PAGEREF _Toc536727068 \h </w:instrText>
            </w:r>
            <w:r w:rsidR="00115347">
              <w:rPr>
                <w:noProof/>
                <w:webHidden/>
              </w:rPr>
            </w:r>
            <w:r w:rsidR="00115347">
              <w:rPr>
                <w:noProof/>
                <w:webHidden/>
              </w:rPr>
              <w:fldChar w:fldCharType="separate"/>
            </w:r>
            <w:r w:rsidR="00115347">
              <w:rPr>
                <w:noProof/>
                <w:webHidden/>
              </w:rPr>
              <w:t>6</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69" w:history="1">
            <w:r w:rsidR="00115347" w:rsidRPr="003A3FFD">
              <w:rPr>
                <w:rStyle w:val="Hipervnculo"/>
                <w:rFonts w:ascii="Arial" w:hAnsi="Arial" w:cs="Arial"/>
                <w:noProof/>
              </w:rPr>
              <w:t>6.</w:t>
            </w:r>
            <w:r w:rsidR="00115347">
              <w:rPr>
                <w:rFonts w:eastAsiaTheme="minorEastAsia"/>
                <w:noProof/>
                <w:lang w:eastAsia="es-CO"/>
              </w:rPr>
              <w:tab/>
            </w:r>
            <w:r w:rsidR="00115347" w:rsidRPr="003A3FFD">
              <w:rPr>
                <w:rStyle w:val="Hipervnculo"/>
                <w:rFonts w:ascii="Arial" w:hAnsi="Arial" w:cs="Arial"/>
                <w:noProof/>
              </w:rPr>
              <w:t>FORTALECER EL SECTOR CINEMATOGRÁFICO.</w:t>
            </w:r>
            <w:r w:rsidR="00115347">
              <w:rPr>
                <w:noProof/>
                <w:webHidden/>
              </w:rPr>
              <w:tab/>
            </w:r>
            <w:r w:rsidR="00115347">
              <w:rPr>
                <w:noProof/>
                <w:webHidden/>
              </w:rPr>
              <w:fldChar w:fldCharType="begin"/>
            </w:r>
            <w:r w:rsidR="00115347">
              <w:rPr>
                <w:noProof/>
                <w:webHidden/>
              </w:rPr>
              <w:instrText xml:space="preserve"> PAGEREF _Toc536727069 \h </w:instrText>
            </w:r>
            <w:r w:rsidR="00115347">
              <w:rPr>
                <w:noProof/>
                <w:webHidden/>
              </w:rPr>
            </w:r>
            <w:r w:rsidR="00115347">
              <w:rPr>
                <w:noProof/>
                <w:webHidden/>
              </w:rPr>
              <w:fldChar w:fldCharType="separate"/>
            </w:r>
            <w:r w:rsidR="00115347">
              <w:rPr>
                <w:noProof/>
                <w:webHidden/>
              </w:rPr>
              <w:t>8</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70" w:history="1">
            <w:r w:rsidR="00115347" w:rsidRPr="003A3FFD">
              <w:rPr>
                <w:rStyle w:val="Hipervnculo"/>
                <w:rFonts w:ascii="Arial" w:hAnsi="Arial" w:cs="Arial"/>
                <w:noProof/>
              </w:rPr>
              <w:t>7.</w:t>
            </w:r>
            <w:r w:rsidR="00115347">
              <w:rPr>
                <w:rFonts w:eastAsiaTheme="minorEastAsia"/>
                <w:noProof/>
                <w:lang w:eastAsia="es-CO"/>
              </w:rPr>
              <w:tab/>
            </w:r>
            <w:r w:rsidR="00115347" w:rsidRPr="003A3FFD">
              <w:rPr>
                <w:rStyle w:val="Hipervnculo"/>
                <w:rFonts w:ascii="Arial" w:hAnsi="Arial" w:cs="Arial"/>
                <w:noProof/>
              </w:rPr>
              <w:t>APOYAR PROYECTOS DE INTERÉS PÚBLICO QUE DESARROLLEN PROCESOS ARTÍSTICOS O CULTURALES</w:t>
            </w:r>
            <w:r w:rsidR="00115347">
              <w:rPr>
                <w:noProof/>
                <w:webHidden/>
              </w:rPr>
              <w:tab/>
            </w:r>
            <w:r w:rsidR="00115347">
              <w:rPr>
                <w:noProof/>
                <w:webHidden/>
              </w:rPr>
              <w:fldChar w:fldCharType="begin"/>
            </w:r>
            <w:r w:rsidR="00115347">
              <w:rPr>
                <w:noProof/>
                <w:webHidden/>
              </w:rPr>
              <w:instrText xml:space="preserve"> PAGEREF _Toc536727070 \h </w:instrText>
            </w:r>
            <w:r w:rsidR="00115347">
              <w:rPr>
                <w:noProof/>
                <w:webHidden/>
              </w:rPr>
            </w:r>
            <w:r w:rsidR="00115347">
              <w:rPr>
                <w:noProof/>
                <w:webHidden/>
              </w:rPr>
              <w:fldChar w:fldCharType="separate"/>
            </w:r>
            <w:r w:rsidR="00115347">
              <w:rPr>
                <w:noProof/>
                <w:webHidden/>
              </w:rPr>
              <w:t>9</w:t>
            </w:r>
            <w:r w:rsidR="00115347">
              <w:rPr>
                <w:noProof/>
                <w:webHidden/>
              </w:rPr>
              <w:fldChar w:fldCharType="end"/>
            </w:r>
          </w:hyperlink>
        </w:p>
        <w:p w:rsidR="00115347" w:rsidRDefault="003D7F95">
          <w:pPr>
            <w:pStyle w:val="TDC1"/>
            <w:tabs>
              <w:tab w:val="left" w:pos="440"/>
              <w:tab w:val="right" w:leader="dot" w:pos="8828"/>
            </w:tabs>
            <w:rPr>
              <w:rFonts w:eastAsiaTheme="minorEastAsia"/>
              <w:noProof/>
              <w:lang w:eastAsia="es-CO"/>
            </w:rPr>
          </w:pPr>
          <w:hyperlink w:anchor="_Toc536727071" w:history="1">
            <w:r w:rsidR="00115347" w:rsidRPr="003A3FFD">
              <w:rPr>
                <w:rStyle w:val="Hipervnculo"/>
                <w:rFonts w:ascii="Arial" w:hAnsi="Arial" w:cs="Arial"/>
                <w:noProof/>
              </w:rPr>
              <w:t>8.</w:t>
            </w:r>
            <w:r w:rsidR="00115347">
              <w:rPr>
                <w:rFonts w:eastAsiaTheme="minorEastAsia"/>
                <w:noProof/>
                <w:lang w:eastAsia="es-CO"/>
              </w:rPr>
              <w:tab/>
            </w:r>
            <w:r w:rsidR="00115347" w:rsidRPr="003A3FFD">
              <w:rPr>
                <w:rStyle w:val="Hipervnculo"/>
                <w:rFonts w:ascii="Arial" w:hAnsi="Arial" w:cs="Arial"/>
                <w:noProof/>
              </w:rPr>
              <w:t>INDICADORES ESTABLECIDOS DE ACUERDO A COMPROMISOS ADQUIRIDOS CON LOS GRUPOS POBLACIONALES</w:t>
            </w:r>
            <w:r w:rsidR="00115347">
              <w:rPr>
                <w:noProof/>
                <w:webHidden/>
              </w:rPr>
              <w:tab/>
            </w:r>
            <w:r w:rsidR="00115347">
              <w:rPr>
                <w:noProof/>
                <w:webHidden/>
              </w:rPr>
              <w:fldChar w:fldCharType="begin"/>
            </w:r>
            <w:r w:rsidR="00115347">
              <w:rPr>
                <w:noProof/>
                <w:webHidden/>
              </w:rPr>
              <w:instrText xml:space="preserve"> PAGEREF _Toc536727071 \h </w:instrText>
            </w:r>
            <w:r w:rsidR="00115347">
              <w:rPr>
                <w:noProof/>
                <w:webHidden/>
              </w:rPr>
            </w:r>
            <w:r w:rsidR="00115347">
              <w:rPr>
                <w:noProof/>
                <w:webHidden/>
              </w:rPr>
              <w:fldChar w:fldCharType="separate"/>
            </w:r>
            <w:r w:rsidR="00115347">
              <w:rPr>
                <w:noProof/>
                <w:webHidden/>
              </w:rPr>
              <w:t>10</w:t>
            </w:r>
            <w:r w:rsidR="00115347">
              <w:rPr>
                <w:noProof/>
                <w:webHidden/>
              </w:rPr>
              <w:fldChar w:fldCharType="end"/>
            </w:r>
          </w:hyperlink>
        </w:p>
        <w:p w:rsidR="009C620B" w:rsidRDefault="009C620B">
          <w:r>
            <w:rPr>
              <w:b/>
              <w:bCs/>
              <w:lang w:val="es-ES"/>
            </w:rPr>
            <w:fldChar w:fldCharType="end"/>
          </w:r>
        </w:p>
      </w:sdtContent>
    </w:sdt>
    <w:p w:rsidR="009C620B" w:rsidRDefault="009C620B" w:rsidP="009C620B">
      <w:pPr>
        <w:pStyle w:val="Ttulo1"/>
      </w:pPr>
      <w:r>
        <w:br w:type="page"/>
      </w:r>
    </w:p>
    <w:p w:rsidR="009C620B" w:rsidRPr="000A07A4" w:rsidRDefault="0023393C" w:rsidP="00C96BB4">
      <w:pPr>
        <w:pStyle w:val="Ttulo1"/>
        <w:spacing w:before="0"/>
        <w:rPr>
          <w:rFonts w:ascii="Arial" w:hAnsi="Arial" w:cs="Arial"/>
          <w:color w:val="244061" w:themeColor="accent1" w:themeShade="80"/>
          <w:sz w:val="24"/>
          <w:szCs w:val="24"/>
        </w:rPr>
      </w:pPr>
      <w:bookmarkStart w:id="1" w:name="_Toc536727063"/>
      <w:r w:rsidRPr="000A07A4">
        <w:rPr>
          <w:rFonts w:ascii="Arial" w:hAnsi="Arial" w:cs="Arial"/>
          <w:color w:val="244061" w:themeColor="accent1" w:themeShade="80"/>
          <w:sz w:val="24"/>
          <w:szCs w:val="24"/>
        </w:rPr>
        <w:lastRenderedPageBreak/>
        <w:t>INTRODUCCIÓN</w:t>
      </w:r>
      <w:bookmarkEnd w:id="1"/>
      <w:r w:rsidR="009C620B" w:rsidRPr="000A07A4">
        <w:rPr>
          <w:rFonts w:ascii="Arial" w:hAnsi="Arial" w:cs="Arial"/>
          <w:color w:val="244061" w:themeColor="accent1" w:themeShade="80"/>
          <w:sz w:val="24"/>
          <w:szCs w:val="24"/>
        </w:rPr>
        <w:t xml:space="preserve"> </w:t>
      </w:r>
    </w:p>
    <w:p w:rsidR="00F13DF6" w:rsidRPr="000A07A4" w:rsidRDefault="00F13DF6" w:rsidP="00894E33">
      <w:pPr>
        <w:rPr>
          <w:rFonts w:ascii="Arial" w:hAnsi="Arial" w:cs="Arial"/>
          <w:sz w:val="24"/>
          <w:szCs w:val="24"/>
        </w:rPr>
      </w:pPr>
      <w:r w:rsidRPr="000A07A4">
        <w:rPr>
          <w:rFonts w:ascii="Arial" w:hAnsi="Arial" w:cs="Arial"/>
          <w:sz w:val="24"/>
          <w:szCs w:val="24"/>
        </w:rPr>
        <w:t xml:space="preserve"> </w:t>
      </w:r>
    </w:p>
    <w:p w:rsidR="003E574A" w:rsidRPr="000A07A4" w:rsidRDefault="00397317" w:rsidP="00C759EA">
      <w:pPr>
        <w:spacing w:after="0" w:line="240" w:lineRule="auto"/>
        <w:jc w:val="both"/>
        <w:rPr>
          <w:rFonts w:ascii="Arial" w:hAnsi="Arial" w:cs="Arial"/>
          <w:sz w:val="24"/>
          <w:szCs w:val="24"/>
        </w:rPr>
      </w:pPr>
      <w:r w:rsidRPr="000A07A4">
        <w:rPr>
          <w:rFonts w:ascii="Arial" w:hAnsi="Arial" w:cs="Arial"/>
          <w:sz w:val="24"/>
          <w:szCs w:val="24"/>
        </w:rPr>
        <w:t xml:space="preserve">Este </w:t>
      </w:r>
      <w:r w:rsidR="00F13DF6" w:rsidRPr="000A07A4">
        <w:rPr>
          <w:rFonts w:ascii="Arial" w:hAnsi="Arial" w:cs="Arial"/>
          <w:sz w:val="24"/>
          <w:szCs w:val="24"/>
        </w:rPr>
        <w:t>documento</w:t>
      </w:r>
      <w:r w:rsidR="0023393C" w:rsidRPr="000A07A4">
        <w:rPr>
          <w:rFonts w:ascii="Arial" w:hAnsi="Arial" w:cs="Arial"/>
          <w:sz w:val="24"/>
          <w:szCs w:val="24"/>
        </w:rPr>
        <w:t xml:space="preserve"> presenta el cierre parcial de las metas del sector Cultura establecidas en el marco del PND 2014-2018 “Todos por un nuevo país”</w:t>
      </w:r>
      <w:r w:rsidRPr="000A07A4">
        <w:rPr>
          <w:rFonts w:ascii="Arial" w:hAnsi="Arial" w:cs="Arial"/>
          <w:sz w:val="24"/>
          <w:szCs w:val="24"/>
        </w:rPr>
        <w:t>,</w:t>
      </w:r>
      <w:r w:rsidR="0023393C" w:rsidRPr="000A07A4">
        <w:rPr>
          <w:rFonts w:ascii="Arial" w:hAnsi="Arial" w:cs="Arial"/>
          <w:sz w:val="24"/>
          <w:szCs w:val="24"/>
        </w:rPr>
        <w:t xml:space="preserve"> de acuerdo las líneas estratégicas</w:t>
      </w:r>
      <w:r w:rsidR="00C96BB4" w:rsidRPr="000A07A4">
        <w:rPr>
          <w:rFonts w:ascii="Arial" w:hAnsi="Arial" w:cs="Arial"/>
          <w:sz w:val="24"/>
          <w:szCs w:val="24"/>
        </w:rPr>
        <w:t xml:space="preserve"> </w:t>
      </w:r>
      <w:r w:rsidR="0023393C" w:rsidRPr="000A07A4">
        <w:rPr>
          <w:rFonts w:ascii="Arial" w:hAnsi="Arial" w:cs="Arial"/>
          <w:sz w:val="24"/>
          <w:szCs w:val="24"/>
        </w:rPr>
        <w:t xml:space="preserve"> aprobadas para </w:t>
      </w:r>
      <w:r w:rsidR="00C96BB4" w:rsidRPr="000A07A4">
        <w:rPr>
          <w:rFonts w:ascii="Arial" w:hAnsi="Arial" w:cs="Arial"/>
          <w:sz w:val="24"/>
          <w:szCs w:val="24"/>
        </w:rPr>
        <w:t xml:space="preserve">Ministerio de Cultura en </w:t>
      </w:r>
      <w:r w:rsidR="0023393C" w:rsidRPr="000A07A4">
        <w:rPr>
          <w:rFonts w:ascii="Arial" w:hAnsi="Arial" w:cs="Arial"/>
          <w:sz w:val="24"/>
          <w:szCs w:val="24"/>
        </w:rPr>
        <w:t>el periodo mencionado</w:t>
      </w:r>
      <w:r w:rsidR="00C96BB4" w:rsidRPr="000A07A4">
        <w:rPr>
          <w:rFonts w:ascii="Arial" w:hAnsi="Arial" w:cs="Arial"/>
          <w:sz w:val="24"/>
          <w:szCs w:val="24"/>
        </w:rPr>
        <w:t xml:space="preserve"> y con base en el seguimiento realizado en el aplicativo SINERGIA.</w:t>
      </w:r>
    </w:p>
    <w:p w:rsidR="00894E33" w:rsidRPr="000A07A4" w:rsidRDefault="00894E33" w:rsidP="004222E9">
      <w:pPr>
        <w:spacing w:after="0"/>
        <w:jc w:val="both"/>
        <w:rPr>
          <w:rFonts w:ascii="Arial" w:hAnsi="Arial" w:cs="Arial"/>
          <w:sz w:val="24"/>
          <w:szCs w:val="24"/>
        </w:rPr>
      </w:pPr>
    </w:p>
    <w:p w:rsidR="00EB33AC" w:rsidRPr="000A5521" w:rsidRDefault="0023393C" w:rsidP="00EB33AC">
      <w:pPr>
        <w:pStyle w:val="Ttulo1"/>
        <w:numPr>
          <w:ilvl w:val="0"/>
          <w:numId w:val="1"/>
        </w:numPr>
        <w:spacing w:before="0"/>
        <w:ind w:left="-567" w:hanging="284"/>
        <w:jc w:val="both"/>
        <w:rPr>
          <w:rFonts w:ascii="Arial" w:hAnsi="Arial" w:cs="Arial"/>
          <w:color w:val="244061" w:themeColor="accent1" w:themeShade="80"/>
          <w:sz w:val="24"/>
          <w:szCs w:val="24"/>
        </w:rPr>
      </w:pPr>
      <w:bookmarkStart w:id="2" w:name="_Toc536727064"/>
      <w:r w:rsidRPr="000A07A4">
        <w:rPr>
          <w:rFonts w:ascii="Arial" w:hAnsi="Arial" w:cs="Arial"/>
          <w:color w:val="244061" w:themeColor="accent1" w:themeShade="80"/>
          <w:sz w:val="24"/>
          <w:szCs w:val="24"/>
        </w:rPr>
        <w:t>IMPULSAR LA LECTURA Y LA ESCRITURA. “LEER ES MI CUENTO”: UNA APUESTA POR LA EQUIDAD</w:t>
      </w:r>
      <w:bookmarkEnd w:id="2"/>
      <w:r w:rsidRPr="000A07A4">
        <w:rPr>
          <w:rFonts w:ascii="Arial" w:hAnsi="Arial" w:cs="Arial"/>
          <w:color w:val="244061" w:themeColor="accent1" w:themeShade="80"/>
          <w:sz w:val="24"/>
          <w:szCs w:val="24"/>
        </w:rPr>
        <w:t xml:space="preserve"> </w:t>
      </w:r>
    </w:p>
    <w:tbl>
      <w:tblPr>
        <w:tblpPr w:leftFromText="141" w:rightFromText="141" w:vertAnchor="text" w:horzAnchor="margin" w:tblpXSpec="center" w:tblpY="185"/>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134"/>
        <w:gridCol w:w="992"/>
        <w:gridCol w:w="992"/>
        <w:gridCol w:w="1051"/>
        <w:gridCol w:w="992"/>
        <w:gridCol w:w="1076"/>
        <w:gridCol w:w="1417"/>
      </w:tblGrid>
      <w:tr w:rsidR="000A5521" w:rsidRPr="000A5521" w:rsidTr="000A5521">
        <w:trPr>
          <w:trHeight w:val="555"/>
        </w:trPr>
        <w:tc>
          <w:tcPr>
            <w:tcW w:w="2622" w:type="dxa"/>
            <w:vMerge w:val="restart"/>
            <w:shd w:val="clear" w:color="auto" w:fill="auto"/>
            <w:vAlign w:val="center"/>
            <w:hideMark/>
          </w:tcPr>
          <w:p w:rsidR="000A5521" w:rsidRPr="000A5521" w:rsidRDefault="000A5521" w:rsidP="00D67D6D">
            <w:pPr>
              <w:spacing w:after="0" w:line="240" w:lineRule="auto"/>
              <w:ind w:left="993" w:hanging="993"/>
              <w:rPr>
                <w:rFonts w:ascii="Arial" w:eastAsia="Times New Roman" w:hAnsi="Arial" w:cs="Arial"/>
                <w:b/>
                <w:bCs/>
                <w:color w:val="083669"/>
                <w:sz w:val="18"/>
                <w:szCs w:val="18"/>
                <w:lang w:eastAsia="es-CO"/>
              </w:rPr>
            </w:pPr>
            <w:r w:rsidRPr="000A5521">
              <w:rPr>
                <w:rFonts w:ascii="Arial" w:eastAsia="Times New Roman" w:hAnsi="Arial" w:cs="Arial"/>
                <w:b/>
                <w:bCs/>
                <w:color w:val="083669"/>
                <w:sz w:val="18"/>
                <w:szCs w:val="18"/>
                <w:lang w:eastAsia="es-CO"/>
              </w:rPr>
              <w:t xml:space="preserve">Impulsar la lectura </w:t>
            </w:r>
          </w:p>
        </w:tc>
        <w:tc>
          <w:tcPr>
            <w:tcW w:w="1134"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Línea Base 2014</w:t>
            </w:r>
          </w:p>
        </w:tc>
        <w:tc>
          <w:tcPr>
            <w:tcW w:w="992"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Cierre 2015</w:t>
            </w:r>
          </w:p>
        </w:tc>
        <w:tc>
          <w:tcPr>
            <w:tcW w:w="992"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Cierre 2016</w:t>
            </w:r>
          </w:p>
        </w:tc>
        <w:tc>
          <w:tcPr>
            <w:tcW w:w="1051"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Cierre 2017</w:t>
            </w:r>
          </w:p>
        </w:tc>
        <w:tc>
          <w:tcPr>
            <w:tcW w:w="992"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Cierre 2018</w:t>
            </w:r>
            <w:r w:rsidRPr="000A5521">
              <w:rPr>
                <w:rFonts w:ascii="Arial" w:eastAsia="Times New Roman" w:hAnsi="Arial" w:cs="Arial"/>
                <w:b/>
                <w:bCs/>
                <w:color w:val="1F497D"/>
                <w:sz w:val="18"/>
                <w:szCs w:val="18"/>
                <w:lang w:eastAsia="es-CO"/>
              </w:rPr>
              <w:br/>
              <w:t>(parcial)</w:t>
            </w:r>
          </w:p>
        </w:tc>
        <w:tc>
          <w:tcPr>
            <w:tcW w:w="1076"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Meta cuatrienio</w:t>
            </w:r>
          </w:p>
        </w:tc>
        <w:tc>
          <w:tcPr>
            <w:tcW w:w="1417" w:type="dxa"/>
            <w:vMerge w:val="restart"/>
            <w:shd w:val="clear" w:color="auto" w:fill="auto"/>
            <w:vAlign w:val="center"/>
            <w:hideMark/>
          </w:tcPr>
          <w:p w:rsidR="000A5521" w:rsidRPr="000A5521" w:rsidRDefault="000A5521" w:rsidP="00D67D6D">
            <w:pPr>
              <w:spacing w:after="0" w:line="240" w:lineRule="auto"/>
              <w:jc w:val="center"/>
              <w:rPr>
                <w:rFonts w:ascii="Arial" w:eastAsia="Times New Roman" w:hAnsi="Arial" w:cs="Arial"/>
                <w:b/>
                <w:bCs/>
                <w:color w:val="1F497D"/>
                <w:sz w:val="18"/>
                <w:szCs w:val="18"/>
                <w:lang w:eastAsia="es-CO"/>
              </w:rPr>
            </w:pPr>
            <w:r w:rsidRPr="000A5521">
              <w:rPr>
                <w:rFonts w:ascii="Arial" w:eastAsia="Times New Roman" w:hAnsi="Arial" w:cs="Arial"/>
                <w:b/>
                <w:bCs/>
                <w:color w:val="1F497D"/>
                <w:sz w:val="18"/>
                <w:szCs w:val="18"/>
                <w:lang w:eastAsia="es-CO"/>
              </w:rPr>
              <w:t>Porcentaje de cumplimiento cuatrienio</w:t>
            </w:r>
          </w:p>
        </w:tc>
      </w:tr>
      <w:tr w:rsidR="000A5521" w:rsidRPr="000A5521" w:rsidTr="000A5521">
        <w:trPr>
          <w:trHeight w:val="300"/>
        </w:trPr>
        <w:tc>
          <w:tcPr>
            <w:tcW w:w="2622" w:type="dxa"/>
            <w:vMerge/>
            <w:vAlign w:val="center"/>
            <w:hideMark/>
          </w:tcPr>
          <w:p w:rsidR="000A5521" w:rsidRPr="000A5521" w:rsidRDefault="000A5521" w:rsidP="00D67D6D">
            <w:pPr>
              <w:spacing w:after="0" w:line="240" w:lineRule="auto"/>
              <w:rPr>
                <w:rFonts w:ascii="Arial" w:eastAsia="Times New Roman" w:hAnsi="Arial" w:cs="Arial"/>
                <w:b/>
                <w:bCs/>
                <w:color w:val="083669"/>
                <w:sz w:val="18"/>
                <w:szCs w:val="18"/>
                <w:lang w:eastAsia="es-CO"/>
              </w:rPr>
            </w:pPr>
          </w:p>
        </w:tc>
        <w:tc>
          <w:tcPr>
            <w:tcW w:w="1134"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992"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992"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1051"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992"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1076"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c>
          <w:tcPr>
            <w:tcW w:w="1417" w:type="dxa"/>
            <w:vMerge/>
            <w:vAlign w:val="center"/>
            <w:hideMark/>
          </w:tcPr>
          <w:p w:rsidR="000A5521" w:rsidRPr="000A5521" w:rsidRDefault="000A5521" w:rsidP="00D67D6D">
            <w:pPr>
              <w:spacing w:after="0" w:line="240" w:lineRule="auto"/>
              <w:rPr>
                <w:rFonts w:ascii="Arial" w:eastAsia="Times New Roman" w:hAnsi="Arial" w:cs="Arial"/>
                <w:b/>
                <w:bCs/>
                <w:color w:val="1F497D"/>
                <w:sz w:val="18"/>
                <w:szCs w:val="18"/>
                <w:lang w:eastAsia="es-CO"/>
              </w:rPr>
            </w:pP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Promedio de libros leídos por la población colombiana</w:t>
            </w:r>
            <w:r w:rsidR="004E42B5">
              <w:rPr>
                <w:rFonts w:ascii="Arial" w:eastAsia="Times New Roman" w:hAnsi="Arial" w:cs="Arial"/>
                <w:color w:val="000000"/>
                <w:sz w:val="18"/>
                <w:szCs w:val="18"/>
                <w:lang w:eastAsia="es-CO"/>
              </w:rPr>
              <w:t>*</w:t>
            </w:r>
            <w:r w:rsidRPr="000A5521">
              <w:rPr>
                <w:rFonts w:ascii="Arial" w:eastAsia="Times New Roman" w:hAnsi="Arial" w:cs="Arial"/>
                <w:color w:val="000000"/>
                <w:sz w:val="18"/>
                <w:szCs w:val="18"/>
                <w:lang w:eastAsia="es-CO"/>
              </w:rPr>
              <w:t xml:space="preserve"> </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1,9</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 xml:space="preserve">   N.A. </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 xml:space="preserve">   N.A. </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3,2</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62.5%</w:t>
            </w: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Promedio anual de libros leídos por persona lectora entre 5 y 11 años</w:t>
            </w:r>
            <w:r w:rsidR="004E42B5">
              <w:rPr>
                <w:rFonts w:ascii="Arial" w:eastAsia="Times New Roman" w:hAnsi="Arial" w:cs="Arial"/>
                <w:color w:val="000000"/>
                <w:sz w:val="18"/>
                <w:szCs w:val="18"/>
                <w:lang w:eastAsia="es-CO"/>
              </w:rPr>
              <w:t>*</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3,18</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 xml:space="preserve">   N.A. </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3,19</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 xml:space="preserve">   N.A. </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3,19</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3,27</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97,55%</w:t>
            </w: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Promedio anual de libros leídos por persona lectora de 12 años y más</w:t>
            </w:r>
            <w:r w:rsidR="004E42B5">
              <w:rPr>
                <w:rFonts w:ascii="Arial" w:eastAsia="Times New Roman" w:hAnsi="Arial" w:cs="Arial"/>
                <w:color w:val="000000"/>
                <w:sz w:val="18"/>
                <w:szCs w:val="18"/>
                <w:lang w:eastAsia="es-CO"/>
              </w:rPr>
              <w:t>*</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4,19</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N.A</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4,3</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N.A.</w:t>
            </w:r>
          </w:p>
        </w:tc>
        <w:tc>
          <w:tcPr>
            <w:tcW w:w="992" w:type="dxa"/>
            <w:shd w:val="clear" w:color="auto" w:fill="auto"/>
            <w:vAlign w:val="center"/>
            <w:hideMark/>
          </w:tcPr>
          <w:p w:rsidR="000A5521" w:rsidRPr="000A5521" w:rsidRDefault="006425F4"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4,4</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97,73%</w:t>
            </w: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Porcentaje de personas lectoras</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79,9</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N,A</w:t>
            </w:r>
          </w:p>
        </w:tc>
        <w:tc>
          <w:tcPr>
            <w:tcW w:w="992" w:type="dxa"/>
            <w:shd w:val="clear" w:color="auto" w:fill="auto"/>
            <w:vAlign w:val="center"/>
            <w:hideMark/>
          </w:tcPr>
          <w:p w:rsidR="000A5521" w:rsidRPr="000A5521" w:rsidRDefault="000A5521" w:rsidP="006425F4">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w:t>
            </w:r>
            <w:r w:rsidR="006425F4">
              <w:rPr>
                <w:rFonts w:ascii="Arial" w:eastAsia="Times New Roman" w:hAnsi="Arial" w:cs="Arial"/>
                <w:color w:val="000000"/>
                <w:sz w:val="18"/>
                <w:szCs w:val="18"/>
                <w:lang w:eastAsia="es-CO"/>
              </w:rPr>
              <w:t>0</w:t>
            </w:r>
            <w:r w:rsidRPr="000A5521">
              <w:rPr>
                <w:rFonts w:ascii="Arial" w:eastAsia="Times New Roman" w:hAnsi="Arial" w:cs="Arial"/>
                <w:color w:val="000000"/>
                <w:sz w:val="18"/>
                <w:szCs w:val="18"/>
                <w:lang w:eastAsia="es-CO"/>
              </w:rPr>
              <w:t>,7</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N,A</w:t>
            </w:r>
          </w:p>
        </w:tc>
        <w:tc>
          <w:tcPr>
            <w:tcW w:w="992" w:type="dxa"/>
            <w:shd w:val="clear" w:color="auto" w:fill="auto"/>
            <w:vAlign w:val="center"/>
            <w:hideMark/>
          </w:tcPr>
          <w:p w:rsidR="000A5521" w:rsidRPr="000A5521" w:rsidRDefault="006425F4"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92,05</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98</w:t>
            </w:r>
            <w:r w:rsidR="006425F4">
              <w:rPr>
                <w:rFonts w:ascii="Arial" w:eastAsia="Times New Roman" w:hAnsi="Arial" w:cs="Arial"/>
                <w:color w:val="000000"/>
                <w:sz w:val="18"/>
                <w:szCs w:val="18"/>
                <w:lang w:eastAsia="es-CO"/>
              </w:rPr>
              <w:t>,53</w:t>
            </w:r>
            <w:r w:rsidRPr="000A5521">
              <w:rPr>
                <w:rFonts w:ascii="Arial" w:eastAsia="Times New Roman" w:hAnsi="Arial" w:cs="Arial"/>
                <w:color w:val="000000"/>
                <w:sz w:val="18"/>
                <w:szCs w:val="18"/>
                <w:lang w:eastAsia="es-CO"/>
              </w:rPr>
              <w:t>%</w:t>
            </w: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Libros y material audiovisual adquirido (millones)</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10.224.556</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2.331.879</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2.676.305</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2.751.513</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2.624.141</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10.027.915</w:t>
            </w:r>
          </w:p>
        </w:tc>
        <w:tc>
          <w:tcPr>
            <w:tcW w:w="1417" w:type="dxa"/>
            <w:shd w:val="clear" w:color="auto" w:fill="auto"/>
            <w:vAlign w:val="center"/>
            <w:hideMark/>
          </w:tcPr>
          <w:p w:rsidR="000A5521" w:rsidRPr="000A5521" w:rsidRDefault="00440558"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103,55</w:t>
            </w:r>
            <w:r w:rsidR="000A5521" w:rsidRPr="000A5521">
              <w:rPr>
                <w:rFonts w:ascii="Arial" w:eastAsia="Times New Roman" w:hAnsi="Arial" w:cs="Arial"/>
                <w:color w:val="000000"/>
                <w:sz w:val="18"/>
                <w:szCs w:val="18"/>
                <w:lang w:eastAsia="es-CO"/>
              </w:rPr>
              <w:t>%</w:t>
            </w:r>
          </w:p>
        </w:tc>
      </w:tr>
      <w:tr w:rsidR="000A5521" w:rsidRPr="000A5521" w:rsidTr="000A5521">
        <w:trPr>
          <w:trHeight w:val="600"/>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Bibliotecas públicas adscritas a la Red Nacional con conectividad</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82</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88,30</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90</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90</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87</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85</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102,35%</w:t>
            </w:r>
          </w:p>
        </w:tc>
      </w:tr>
      <w:tr w:rsidR="000A5521" w:rsidRPr="000A5521" w:rsidTr="000A5521">
        <w:trPr>
          <w:trHeight w:val="885"/>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Bibliotecarios formados en competencias TIC para el diseño, prestación y divulgación de servicios bibliotecarios</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0</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366</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972</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172</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 -</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1.200</w:t>
            </w:r>
          </w:p>
        </w:tc>
        <w:tc>
          <w:tcPr>
            <w:tcW w:w="1417" w:type="dxa"/>
            <w:shd w:val="clear" w:color="auto" w:fill="auto"/>
            <w:vAlign w:val="center"/>
            <w:hideMark/>
          </w:tcPr>
          <w:p w:rsidR="000A5521" w:rsidRPr="000A5521" w:rsidRDefault="000A5521" w:rsidP="00440558">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12</w:t>
            </w:r>
            <w:r w:rsidR="00440558">
              <w:rPr>
                <w:rFonts w:ascii="Arial" w:eastAsia="Times New Roman" w:hAnsi="Arial" w:cs="Arial"/>
                <w:color w:val="000000"/>
                <w:sz w:val="18"/>
                <w:szCs w:val="18"/>
                <w:lang w:eastAsia="es-CO"/>
              </w:rPr>
              <w:t>5,83</w:t>
            </w:r>
            <w:r w:rsidRPr="000A5521">
              <w:rPr>
                <w:rFonts w:ascii="Arial" w:eastAsia="Times New Roman" w:hAnsi="Arial" w:cs="Arial"/>
                <w:color w:val="000000"/>
                <w:sz w:val="18"/>
                <w:szCs w:val="18"/>
                <w:lang w:eastAsia="es-CO"/>
              </w:rPr>
              <w:t>%</w:t>
            </w:r>
          </w:p>
        </w:tc>
      </w:tr>
      <w:tr w:rsidR="000A5521" w:rsidRPr="000A5521" w:rsidTr="000A5521">
        <w:trPr>
          <w:trHeight w:val="885"/>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Nuevos contenidos impresos, audiovisuales y digitales</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26</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5</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3</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15</w:t>
            </w:r>
          </w:p>
        </w:tc>
        <w:tc>
          <w:tcPr>
            <w:tcW w:w="1417" w:type="dxa"/>
            <w:shd w:val="clear" w:color="auto" w:fill="auto"/>
            <w:vAlign w:val="center"/>
            <w:hideMark/>
          </w:tcPr>
          <w:p w:rsidR="000A5521" w:rsidRPr="000A5521" w:rsidRDefault="00440558"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106,67</w:t>
            </w:r>
            <w:r w:rsidR="000A5521" w:rsidRPr="000A5521">
              <w:rPr>
                <w:rFonts w:ascii="Arial" w:eastAsia="Times New Roman" w:hAnsi="Arial" w:cs="Arial"/>
                <w:color w:val="000000"/>
                <w:sz w:val="18"/>
                <w:szCs w:val="18"/>
                <w:lang w:eastAsia="es-CO"/>
              </w:rPr>
              <w:t>%</w:t>
            </w:r>
          </w:p>
        </w:tc>
      </w:tr>
      <w:tr w:rsidR="000A5521" w:rsidRPr="000A5521" w:rsidTr="000A5521">
        <w:trPr>
          <w:trHeight w:val="885"/>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Talento humano cualificado para la atención integral a la primera infancia (Cultura)</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4</w:t>
            </w:r>
            <w:r w:rsidR="00440558">
              <w:rPr>
                <w:rFonts w:ascii="Arial" w:eastAsia="Times New Roman" w:hAnsi="Arial" w:cs="Arial"/>
                <w:color w:val="000000"/>
                <w:sz w:val="18"/>
                <w:szCs w:val="18"/>
                <w:lang w:eastAsia="es-CO"/>
              </w:rPr>
              <w:t>.</w:t>
            </w:r>
            <w:r w:rsidRPr="000A5521">
              <w:rPr>
                <w:rFonts w:ascii="Arial" w:eastAsia="Times New Roman" w:hAnsi="Arial" w:cs="Arial"/>
                <w:color w:val="000000"/>
                <w:sz w:val="18"/>
                <w:szCs w:val="18"/>
                <w:lang w:eastAsia="es-CO"/>
              </w:rPr>
              <w:t>334</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w:t>
            </w:r>
            <w:r w:rsidR="00440558">
              <w:rPr>
                <w:rFonts w:ascii="Arial" w:eastAsia="Times New Roman" w:hAnsi="Arial" w:cs="Arial"/>
                <w:color w:val="000000"/>
                <w:sz w:val="18"/>
                <w:szCs w:val="18"/>
                <w:lang w:eastAsia="es-CO"/>
              </w:rPr>
              <w:t>.</w:t>
            </w:r>
            <w:r w:rsidRPr="000A5521">
              <w:rPr>
                <w:rFonts w:ascii="Arial" w:eastAsia="Times New Roman" w:hAnsi="Arial" w:cs="Arial"/>
                <w:color w:val="000000"/>
                <w:sz w:val="18"/>
                <w:szCs w:val="18"/>
                <w:lang w:eastAsia="es-CO"/>
              </w:rPr>
              <w:t>032</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582</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706</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580</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w:t>
            </w:r>
            <w:r w:rsidR="00440558">
              <w:rPr>
                <w:rFonts w:ascii="Arial" w:eastAsia="Times New Roman" w:hAnsi="Arial" w:cs="Arial"/>
                <w:color w:val="000000"/>
                <w:sz w:val="18"/>
                <w:szCs w:val="18"/>
                <w:lang w:eastAsia="es-CO"/>
              </w:rPr>
              <w:t>.</w:t>
            </w:r>
            <w:r w:rsidRPr="000A5521">
              <w:rPr>
                <w:rFonts w:ascii="Arial" w:eastAsia="Times New Roman" w:hAnsi="Arial" w:cs="Arial"/>
                <w:color w:val="000000"/>
                <w:sz w:val="18"/>
                <w:szCs w:val="18"/>
                <w:lang w:eastAsia="es-CO"/>
              </w:rPr>
              <w:t>500</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116%</w:t>
            </w:r>
          </w:p>
        </w:tc>
      </w:tr>
      <w:tr w:rsidR="000A5521" w:rsidRPr="000A5521" w:rsidTr="000A5521">
        <w:trPr>
          <w:trHeight w:val="885"/>
        </w:trPr>
        <w:tc>
          <w:tcPr>
            <w:tcW w:w="2622" w:type="dxa"/>
            <w:shd w:val="clear" w:color="auto" w:fill="auto"/>
            <w:vAlign w:val="center"/>
            <w:hideMark/>
          </w:tcPr>
          <w:p w:rsidR="000A5521" w:rsidRPr="000A5521" w:rsidRDefault="000A5521" w:rsidP="00D67D6D">
            <w:pPr>
              <w:spacing w:after="0" w:line="240" w:lineRule="auto"/>
              <w:jc w:val="both"/>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Libros y/o material audiovisual adquirido y producido para la primera infancia</w:t>
            </w:r>
          </w:p>
        </w:tc>
        <w:tc>
          <w:tcPr>
            <w:tcW w:w="1134"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8.227.618</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2.067.021</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2.437.500</w:t>
            </w:r>
          </w:p>
        </w:tc>
        <w:tc>
          <w:tcPr>
            <w:tcW w:w="1051"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2.362.360</w:t>
            </w:r>
          </w:p>
        </w:tc>
        <w:tc>
          <w:tcPr>
            <w:tcW w:w="992"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2.280.000</w:t>
            </w:r>
          </w:p>
        </w:tc>
        <w:tc>
          <w:tcPr>
            <w:tcW w:w="1076"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6.875.000</w:t>
            </w:r>
          </w:p>
        </w:tc>
        <w:tc>
          <w:tcPr>
            <w:tcW w:w="1417" w:type="dxa"/>
            <w:shd w:val="clear" w:color="auto" w:fill="auto"/>
            <w:vAlign w:val="center"/>
            <w:hideMark/>
          </w:tcPr>
          <w:p w:rsidR="000A5521" w:rsidRPr="000A5521" w:rsidRDefault="000A5521" w:rsidP="00D67D6D">
            <w:pPr>
              <w:spacing w:after="0" w:line="240" w:lineRule="auto"/>
              <w:jc w:val="center"/>
              <w:rPr>
                <w:rFonts w:ascii="Arial" w:eastAsia="Times New Roman" w:hAnsi="Arial" w:cs="Arial"/>
                <w:color w:val="000000"/>
                <w:sz w:val="18"/>
                <w:szCs w:val="18"/>
                <w:lang w:eastAsia="es-CO"/>
              </w:rPr>
            </w:pPr>
            <w:r w:rsidRPr="000A5521">
              <w:rPr>
                <w:rFonts w:ascii="Arial" w:eastAsia="Times New Roman" w:hAnsi="Arial" w:cs="Arial"/>
                <w:color w:val="000000"/>
                <w:sz w:val="18"/>
                <w:szCs w:val="18"/>
                <w:lang w:eastAsia="es-CO"/>
              </w:rPr>
              <w:t>133</w:t>
            </w:r>
            <w:r w:rsidR="00440558">
              <w:rPr>
                <w:rFonts w:ascii="Arial" w:eastAsia="Times New Roman" w:hAnsi="Arial" w:cs="Arial"/>
                <w:color w:val="000000"/>
                <w:sz w:val="18"/>
                <w:szCs w:val="18"/>
                <w:lang w:eastAsia="es-CO"/>
              </w:rPr>
              <w:t>,05</w:t>
            </w:r>
            <w:r w:rsidRPr="000A5521">
              <w:rPr>
                <w:rFonts w:ascii="Arial" w:eastAsia="Times New Roman" w:hAnsi="Arial" w:cs="Arial"/>
                <w:color w:val="000000"/>
                <w:sz w:val="18"/>
                <w:szCs w:val="18"/>
                <w:lang w:eastAsia="es-CO"/>
              </w:rPr>
              <w:t>%</w:t>
            </w:r>
          </w:p>
        </w:tc>
      </w:tr>
    </w:tbl>
    <w:p w:rsidR="004E42B5" w:rsidRPr="001C15B5" w:rsidRDefault="004E42B5" w:rsidP="004E42B5">
      <w:pPr>
        <w:jc w:val="both"/>
        <w:rPr>
          <w:rFonts w:ascii="Arial" w:hAnsi="Arial" w:cs="Arial"/>
          <w:sz w:val="16"/>
          <w:szCs w:val="16"/>
        </w:rPr>
      </w:pPr>
      <w:r w:rsidRPr="001C15B5">
        <w:rPr>
          <w:rFonts w:ascii="Arial" w:hAnsi="Arial" w:cs="Arial"/>
          <w:sz w:val="16"/>
          <w:szCs w:val="16"/>
        </w:rPr>
        <w:t>Nota * Pendiente cargue de información en el mes de febrero</w:t>
      </w:r>
    </w:p>
    <w:p w:rsidR="000A5521" w:rsidRPr="000A07A4" w:rsidRDefault="000A5521" w:rsidP="00EB33AC">
      <w:pPr>
        <w:rPr>
          <w:rFonts w:ascii="Arial" w:hAnsi="Arial" w:cs="Arial"/>
          <w:sz w:val="24"/>
          <w:szCs w:val="24"/>
        </w:rPr>
      </w:pP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 xml:space="preserve">En el marco de esta línea estratégica, a través del Plan Nacional de Lectura y escritura “Leer es mi cuento” el Ministerio de Cultura impulsó el incremento de los índices de lectura en la población colombiana, obteniendo los siguientes resultados: </w:t>
      </w:r>
    </w:p>
    <w:p w:rsidR="000A5521" w:rsidRPr="000A5521" w:rsidRDefault="000A5521" w:rsidP="000A5521">
      <w:pPr>
        <w:spacing w:after="0" w:line="240" w:lineRule="auto"/>
        <w:jc w:val="both"/>
        <w:rPr>
          <w:rFonts w:ascii="Arial" w:hAnsi="Arial" w:cs="Arial"/>
          <w:color w:val="222222"/>
          <w:sz w:val="24"/>
          <w:szCs w:val="24"/>
          <w:shd w:val="clear" w:color="auto" w:fill="FFFFFF"/>
        </w:rPr>
      </w:pP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 Como mega meta para el sector cultura, se estableció incrementar a 3,2 el “Promedio de libros leídos por la población colombiana” y se crearon tres indicadores complementarios así: i) promedio anual de libros leídos por persona lectora entre 5 y 11 años ii) promedio de libros leídos por persona lectora de 12 años y más,  y iii) porcentaje de personas lectoras.  Los resultados de la meta del cuatrienio se soportan con la encuesta de Consumo Cultural que se realiza de manera bienal, iniciando su aplicación en el mes de septiembre</w:t>
      </w:r>
      <w:r>
        <w:rPr>
          <w:rFonts w:ascii="Arial" w:hAnsi="Arial" w:cs="Arial"/>
          <w:color w:val="222222"/>
          <w:sz w:val="24"/>
          <w:szCs w:val="24"/>
          <w:shd w:val="clear" w:color="auto" w:fill="FFFFFF"/>
        </w:rPr>
        <w:t xml:space="preserve"> </w:t>
      </w:r>
      <w:r w:rsidRPr="000A5521">
        <w:rPr>
          <w:rFonts w:ascii="Arial" w:hAnsi="Arial" w:cs="Arial"/>
          <w:color w:val="222222"/>
          <w:sz w:val="24"/>
          <w:szCs w:val="24"/>
          <w:shd w:val="clear" w:color="auto" w:fill="FFFFFF"/>
        </w:rPr>
        <w:t>2018 y obteniendo sus resultados a finales de la presente vigencia (diciembre del 2018.</w:t>
      </w: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En ese sentido y según la Encuesta de Consumo Cultura de 2018, está estrategia avanzó en el cumplimiento de sus metas, de ahí que el 2.0 es el promedio de libros leídos por la población colombiana, el 3,19 el promedio anual de libros leídos por persona lectora entre 5 y 11 años, 4,3 es el promedio de libros leídos por persona lectora de 12 años y más  y 90,7% es el porcentaje de personas lectoras respectivamente.</w:t>
      </w:r>
    </w:p>
    <w:p w:rsidR="000A5521" w:rsidRPr="000A5521" w:rsidRDefault="000A5521" w:rsidP="000A5521">
      <w:pPr>
        <w:spacing w:after="0" w:line="240" w:lineRule="auto"/>
        <w:jc w:val="both"/>
        <w:rPr>
          <w:rFonts w:ascii="Arial" w:hAnsi="Arial" w:cs="Arial"/>
          <w:color w:val="222222"/>
          <w:sz w:val="24"/>
          <w:szCs w:val="24"/>
          <w:shd w:val="clear" w:color="auto" w:fill="FFFFFF"/>
        </w:rPr>
      </w:pP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 Se adquirieron 10.027.915 de libros y material audiovisual superando la meta establecida en el PND 2014-2018 de 10.027.915 millones.</w:t>
      </w:r>
    </w:p>
    <w:p w:rsidR="000A5521" w:rsidRPr="000A5521" w:rsidRDefault="000A5521" w:rsidP="000A5521">
      <w:pPr>
        <w:spacing w:after="0" w:line="240" w:lineRule="auto"/>
        <w:jc w:val="both"/>
        <w:rPr>
          <w:rFonts w:ascii="Arial" w:hAnsi="Arial" w:cs="Arial"/>
          <w:color w:val="222222"/>
          <w:sz w:val="24"/>
          <w:szCs w:val="24"/>
          <w:shd w:val="clear" w:color="auto" w:fill="FFFFFF"/>
        </w:rPr>
      </w:pP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 El 87% de las Bibliotecas públicas cuentan con conectividad superando la meta establecida del 85%.</w:t>
      </w:r>
    </w:p>
    <w:p w:rsidR="000A5521" w:rsidRPr="000A5521" w:rsidRDefault="000A5521" w:rsidP="000A5521">
      <w:pPr>
        <w:spacing w:after="0" w:line="240" w:lineRule="auto"/>
        <w:jc w:val="both"/>
        <w:rPr>
          <w:rFonts w:ascii="Arial" w:hAnsi="Arial" w:cs="Arial"/>
          <w:color w:val="222222"/>
          <w:sz w:val="24"/>
          <w:szCs w:val="24"/>
          <w:shd w:val="clear" w:color="auto" w:fill="FFFFFF"/>
        </w:rPr>
      </w:pP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 Fueron formados 1.510 Bibliotecarios en usos de TIC, para el diseño, prestación y divulgación de los servicios bibliotecarios, superando la meta de 1.200 establecida para el periodo de Gobierno.</w:t>
      </w:r>
    </w:p>
    <w:p w:rsidR="000A5521" w:rsidRDefault="000A5521" w:rsidP="000A5521">
      <w:pPr>
        <w:spacing w:after="0" w:line="240" w:lineRule="auto"/>
        <w:jc w:val="both"/>
        <w:rPr>
          <w:rFonts w:ascii="Arial" w:hAnsi="Arial" w:cs="Arial"/>
          <w:color w:val="222222"/>
          <w:sz w:val="24"/>
          <w:szCs w:val="24"/>
          <w:shd w:val="clear" w:color="auto" w:fill="FFFFFF"/>
        </w:rPr>
      </w:pPr>
      <w:r w:rsidRPr="000A5521">
        <w:rPr>
          <w:rFonts w:ascii="Arial" w:hAnsi="Arial" w:cs="Arial"/>
          <w:color w:val="222222"/>
          <w:sz w:val="24"/>
          <w:szCs w:val="24"/>
          <w:shd w:val="clear" w:color="auto" w:fill="FFFFFF"/>
        </w:rPr>
        <w:t>Se formaron 2.900 personas para la Atención Integral de los niños y niñas menores de seis años superando la meta establecida para el cuatrienio de 2.500.</w:t>
      </w:r>
    </w:p>
    <w:p w:rsidR="000A5521" w:rsidRPr="000A5521" w:rsidRDefault="000A5521" w:rsidP="000A5521">
      <w:pPr>
        <w:spacing w:after="0" w:line="240" w:lineRule="auto"/>
        <w:jc w:val="both"/>
        <w:rPr>
          <w:rFonts w:ascii="Arial" w:hAnsi="Arial" w:cs="Arial"/>
          <w:color w:val="222222"/>
          <w:sz w:val="24"/>
          <w:szCs w:val="24"/>
          <w:shd w:val="clear" w:color="auto" w:fill="FFFFFF"/>
        </w:rPr>
      </w:pPr>
    </w:p>
    <w:p w:rsidR="00175141" w:rsidRPr="000A5521" w:rsidRDefault="000A5521" w:rsidP="000A5521">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r w:rsidRPr="000A5521">
        <w:rPr>
          <w:rFonts w:ascii="Arial" w:hAnsi="Arial" w:cs="Arial"/>
          <w:color w:val="222222"/>
          <w:sz w:val="24"/>
          <w:szCs w:val="24"/>
          <w:shd w:val="clear" w:color="auto" w:fill="FFFFFF"/>
        </w:rPr>
        <w:t>9.146.881 ejemplares adquiridos, producidos y distribuidos  para la primera infancia, arrojando un cumplimiento del 133</w:t>
      </w:r>
      <w:r>
        <w:rPr>
          <w:rFonts w:ascii="Arial" w:hAnsi="Arial" w:cs="Arial"/>
          <w:color w:val="222222"/>
          <w:sz w:val="24"/>
          <w:szCs w:val="24"/>
          <w:shd w:val="clear" w:color="auto" w:fill="FFFFFF"/>
        </w:rPr>
        <w:t>% frente a la meta establecida.</w:t>
      </w:r>
    </w:p>
    <w:p w:rsidR="0000650A" w:rsidRPr="000A07A4" w:rsidRDefault="0000650A" w:rsidP="004222E9">
      <w:pPr>
        <w:spacing w:after="0"/>
        <w:jc w:val="both"/>
        <w:rPr>
          <w:rFonts w:ascii="Arial" w:hAnsi="Arial" w:cs="Arial"/>
          <w:sz w:val="24"/>
          <w:szCs w:val="24"/>
        </w:rPr>
      </w:pPr>
    </w:p>
    <w:p w:rsidR="009C620B" w:rsidRPr="000A07A4" w:rsidRDefault="00C96BB4" w:rsidP="00647628">
      <w:pPr>
        <w:pStyle w:val="Ttulo1"/>
        <w:numPr>
          <w:ilvl w:val="0"/>
          <w:numId w:val="1"/>
        </w:numPr>
        <w:spacing w:before="0"/>
        <w:ind w:left="-567" w:hanging="284"/>
        <w:jc w:val="both"/>
        <w:rPr>
          <w:rFonts w:ascii="Arial" w:hAnsi="Arial" w:cs="Arial"/>
          <w:color w:val="244061" w:themeColor="accent1" w:themeShade="80"/>
          <w:sz w:val="24"/>
          <w:szCs w:val="24"/>
        </w:rPr>
      </w:pPr>
      <w:bookmarkStart w:id="3" w:name="_Toc536727065"/>
      <w:r w:rsidRPr="000A07A4">
        <w:rPr>
          <w:rFonts w:ascii="Arial" w:hAnsi="Arial" w:cs="Arial"/>
          <w:color w:val="244061" w:themeColor="accent1" w:themeShade="80"/>
          <w:sz w:val="24"/>
          <w:szCs w:val="24"/>
        </w:rPr>
        <w:t>FORTALECER LA INFRAESTRUCTURA CULTURAL Y CONSERVAR EL PATRIMONIO CULTURAL MATERIAL</w:t>
      </w:r>
      <w:bookmarkEnd w:id="3"/>
    </w:p>
    <w:p w:rsidR="003C0F2D" w:rsidRPr="000A07A4" w:rsidRDefault="003C0F2D" w:rsidP="003C0F2D">
      <w:pPr>
        <w:spacing w:after="0"/>
        <w:jc w:val="both"/>
        <w:rPr>
          <w:rFonts w:ascii="Arial" w:hAnsi="Arial" w:cs="Arial"/>
          <w:sz w:val="24"/>
          <w:szCs w:val="24"/>
        </w:rPr>
      </w:pP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4"/>
        <w:gridCol w:w="611"/>
        <w:gridCol w:w="661"/>
        <w:gridCol w:w="661"/>
        <w:gridCol w:w="661"/>
        <w:gridCol w:w="841"/>
        <w:gridCol w:w="1001"/>
        <w:gridCol w:w="1497"/>
      </w:tblGrid>
      <w:tr w:rsidR="00C759EA" w:rsidRPr="00E259AE" w:rsidTr="00C759EA">
        <w:trPr>
          <w:trHeight w:val="300"/>
          <w:jc w:val="center"/>
        </w:trPr>
        <w:tc>
          <w:tcPr>
            <w:tcW w:w="1372" w:type="pct"/>
            <w:vMerge w:val="restart"/>
            <w:shd w:val="clear" w:color="auto" w:fill="auto"/>
            <w:vAlign w:val="center"/>
            <w:hideMark/>
          </w:tcPr>
          <w:p w:rsidR="00C759EA" w:rsidRPr="00E259AE" w:rsidRDefault="00C759EA" w:rsidP="00CE10B9">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t>Infraestructura cultural</w:t>
            </w:r>
          </w:p>
        </w:tc>
        <w:tc>
          <w:tcPr>
            <w:tcW w:w="376"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407"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407"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407"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407"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Pr>
                <w:rFonts w:ascii="Arial" w:eastAsia="Times New Roman" w:hAnsi="Arial" w:cs="Arial"/>
                <w:b/>
                <w:bCs/>
                <w:color w:val="1F497D"/>
                <w:sz w:val="18"/>
                <w:szCs w:val="18"/>
                <w:lang w:eastAsia="es-CO"/>
              </w:rPr>
              <w:t xml:space="preserve"> (parcial)</w:t>
            </w:r>
          </w:p>
        </w:tc>
        <w:tc>
          <w:tcPr>
            <w:tcW w:w="616"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1010" w:type="pct"/>
            <w:vMerge w:val="restar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585"/>
          <w:jc w:val="center"/>
        </w:trPr>
        <w:tc>
          <w:tcPr>
            <w:tcW w:w="1372" w:type="pct"/>
            <w:vMerge/>
            <w:vAlign w:val="center"/>
            <w:hideMark/>
          </w:tcPr>
          <w:p w:rsidR="00C759EA" w:rsidRPr="00E259AE" w:rsidRDefault="00C759EA" w:rsidP="00CE10B9">
            <w:pPr>
              <w:spacing w:after="0" w:line="240" w:lineRule="auto"/>
              <w:rPr>
                <w:rFonts w:ascii="Arial" w:eastAsia="Times New Roman" w:hAnsi="Arial" w:cs="Arial"/>
                <w:b/>
                <w:bCs/>
                <w:color w:val="083669"/>
                <w:sz w:val="18"/>
                <w:szCs w:val="18"/>
                <w:lang w:eastAsia="es-CO"/>
              </w:rPr>
            </w:pPr>
          </w:p>
        </w:tc>
        <w:tc>
          <w:tcPr>
            <w:tcW w:w="376"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407"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407"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407"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407"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616"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c>
          <w:tcPr>
            <w:tcW w:w="1010" w:type="pct"/>
            <w:vMerge/>
            <w:vAlign w:val="center"/>
            <w:hideMark/>
          </w:tcPr>
          <w:p w:rsidR="00C759EA" w:rsidRPr="00E259AE" w:rsidRDefault="00C759EA" w:rsidP="00CE10B9">
            <w:pPr>
              <w:spacing w:after="0" w:line="240" w:lineRule="auto"/>
              <w:rPr>
                <w:rFonts w:ascii="Arial" w:eastAsia="Times New Roman" w:hAnsi="Arial" w:cs="Arial"/>
                <w:b/>
                <w:bCs/>
                <w:color w:val="1F497D"/>
                <w:sz w:val="18"/>
                <w:szCs w:val="18"/>
                <w:lang w:eastAsia="es-CO"/>
              </w:rPr>
            </w:pPr>
          </w:p>
        </w:tc>
      </w:tr>
      <w:tr w:rsidR="00C759EA" w:rsidRPr="00E259AE" w:rsidTr="00C759EA">
        <w:trPr>
          <w:trHeight w:val="703"/>
          <w:jc w:val="center"/>
        </w:trPr>
        <w:tc>
          <w:tcPr>
            <w:tcW w:w="1372"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lastRenderedPageBreak/>
              <w:t xml:space="preserve">Espacios culturales nuevos, renovados y fortalecidos </w:t>
            </w:r>
          </w:p>
        </w:tc>
        <w:tc>
          <w:tcPr>
            <w:tcW w:w="37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296</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52</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63</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44</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59</w:t>
            </w:r>
          </w:p>
        </w:tc>
        <w:tc>
          <w:tcPr>
            <w:tcW w:w="61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176</w:t>
            </w:r>
          </w:p>
        </w:tc>
        <w:tc>
          <w:tcPr>
            <w:tcW w:w="1010"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123,86%</w:t>
            </w:r>
          </w:p>
        </w:tc>
      </w:tr>
      <w:tr w:rsidR="00C759EA" w:rsidRPr="00E259AE" w:rsidTr="00C759EA">
        <w:trPr>
          <w:trHeight w:val="699"/>
          <w:jc w:val="center"/>
        </w:trPr>
        <w:tc>
          <w:tcPr>
            <w:tcW w:w="1372"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Escenarios culturales nuevos y dotados</w:t>
            </w:r>
          </w:p>
        </w:tc>
        <w:tc>
          <w:tcPr>
            <w:tcW w:w="37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121</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18</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39</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36</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38</w:t>
            </w:r>
          </w:p>
        </w:tc>
        <w:tc>
          <w:tcPr>
            <w:tcW w:w="61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110</w:t>
            </w:r>
          </w:p>
        </w:tc>
        <w:tc>
          <w:tcPr>
            <w:tcW w:w="1010"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119,09%</w:t>
            </w:r>
          </w:p>
        </w:tc>
      </w:tr>
      <w:tr w:rsidR="00C759EA" w:rsidRPr="00E259AE" w:rsidTr="00C759EA">
        <w:trPr>
          <w:trHeight w:val="837"/>
          <w:jc w:val="center"/>
        </w:trPr>
        <w:tc>
          <w:tcPr>
            <w:tcW w:w="1372"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Escenarios culturales rehabilitados y dotados</w:t>
            </w:r>
          </w:p>
        </w:tc>
        <w:tc>
          <w:tcPr>
            <w:tcW w:w="37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94</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32</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18</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6</w:t>
            </w:r>
          </w:p>
        </w:tc>
        <w:tc>
          <w:tcPr>
            <w:tcW w:w="40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15</w:t>
            </w:r>
          </w:p>
        </w:tc>
        <w:tc>
          <w:tcPr>
            <w:tcW w:w="61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38</w:t>
            </w:r>
          </w:p>
        </w:tc>
        <w:tc>
          <w:tcPr>
            <w:tcW w:w="1010"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186,84%</w:t>
            </w:r>
          </w:p>
        </w:tc>
      </w:tr>
    </w:tbl>
    <w:p w:rsidR="003C0F2D" w:rsidRPr="000A07A4" w:rsidRDefault="003C0F2D" w:rsidP="000A07A4">
      <w:pPr>
        <w:spacing w:after="0" w:line="240" w:lineRule="auto"/>
        <w:jc w:val="both"/>
        <w:rPr>
          <w:rFonts w:ascii="Arial" w:hAnsi="Arial" w:cs="Arial"/>
          <w:sz w:val="24"/>
          <w:szCs w:val="24"/>
        </w:rPr>
      </w:pPr>
    </w:p>
    <w:p w:rsidR="00F91740" w:rsidRPr="000A07A4" w:rsidRDefault="003C0F2D" w:rsidP="00C759EA">
      <w:pPr>
        <w:spacing w:line="240" w:lineRule="auto"/>
        <w:jc w:val="both"/>
        <w:rPr>
          <w:rFonts w:ascii="Arial" w:hAnsi="Arial" w:cs="Arial"/>
          <w:sz w:val="24"/>
          <w:szCs w:val="24"/>
        </w:rPr>
      </w:pPr>
      <w:r w:rsidRPr="000A07A4">
        <w:rPr>
          <w:rFonts w:ascii="Arial" w:hAnsi="Arial" w:cs="Arial"/>
          <w:sz w:val="24"/>
          <w:szCs w:val="24"/>
        </w:rPr>
        <w:t xml:space="preserve">El Ministerio de Cultura, en los cuatro años de gobierno realizó importantes esfuerzos en el fortalecimiento </w:t>
      </w:r>
      <w:r w:rsidR="00F91740" w:rsidRPr="000A07A4">
        <w:rPr>
          <w:rFonts w:ascii="Arial" w:hAnsi="Arial" w:cs="Arial"/>
          <w:sz w:val="24"/>
          <w:szCs w:val="24"/>
        </w:rPr>
        <w:t xml:space="preserve">de la infraestructura cultural, pues ésta era una de las necesidades prioritarias en los territorios del país. </w:t>
      </w:r>
    </w:p>
    <w:p w:rsidR="00F91740" w:rsidRPr="000A07A4" w:rsidRDefault="00F91740" w:rsidP="00C759EA">
      <w:pPr>
        <w:spacing w:line="240" w:lineRule="auto"/>
        <w:jc w:val="both"/>
        <w:rPr>
          <w:rFonts w:ascii="Arial" w:hAnsi="Arial" w:cs="Arial"/>
          <w:sz w:val="24"/>
          <w:szCs w:val="24"/>
        </w:rPr>
      </w:pPr>
      <w:r w:rsidRPr="000A07A4">
        <w:rPr>
          <w:rFonts w:ascii="Arial" w:hAnsi="Arial" w:cs="Arial"/>
          <w:sz w:val="24"/>
          <w:szCs w:val="24"/>
        </w:rPr>
        <w:t xml:space="preserve">En gran cantidad de municipios de Colombia, había una infraestructura deficiente, insuficiente y, en peores casos, nula. Las inversiones se realizaron bajo la premisa de construir entornos protectores para la infancia, la adolescencia y la juventud; la reconstrucción de tejido social, a través de la cultura; la transmisión de saberes y técnicas tradicionales, y el fortalecimiento de la creación y circulación de las expresiones artísticas y culturales, que incluye diferentes tipos de infraestructura cultural. </w:t>
      </w:r>
    </w:p>
    <w:p w:rsidR="002D4A1C" w:rsidRPr="000A07A4" w:rsidRDefault="00F91740" w:rsidP="00C759EA">
      <w:pPr>
        <w:spacing w:line="240" w:lineRule="auto"/>
        <w:jc w:val="both"/>
        <w:rPr>
          <w:rFonts w:ascii="Arial" w:hAnsi="Arial" w:cs="Arial"/>
          <w:sz w:val="24"/>
          <w:szCs w:val="24"/>
        </w:rPr>
      </w:pPr>
      <w:r w:rsidRPr="000A07A4">
        <w:rPr>
          <w:rFonts w:ascii="Arial" w:hAnsi="Arial" w:cs="Arial"/>
          <w:sz w:val="24"/>
          <w:szCs w:val="24"/>
        </w:rPr>
        <w:t xml:space="preserve">Por lo anteriormente mencionado, </w:t>
      </w:r>
      <w:r w:rsidR="00ED1CAE" w:rsidRPr="000A07A4">
        <w:rPr>
          <w:rFonts w:ascii="Arial" w:hAnsi="Arial" w:cs="Arial"/>
          <w:sz w:val="24"/>
          <w:szCs w:val="24"/>
        </w:rPr>
        <w:t>esta cartera</w:t>
      </w:r>
      <w:r w:rsidRPr="000A07A4">
        <w:rPr>
          <w:rFonts w:ascii="Arial" w:hAnsi="Arial" w:cs="Arial"/>
          <w:sz w:val="24"/>
          <w:szCs w:val="24"/>
        </w:rPr>
        <w:t xml:space="preserve"> </w:t>
      </w:r>
      <w:r w:rsidR="00ED1CAE" w:rsidRPr="000A07A4">
        <w:rPr>
          <w:rFonts w:ascii="Arial" w:hAnsi="Arial" w:cs="Arial"/>
          <w:sz w:val="24"/>
          <w:szCs w:val="24"/>
        </w:rPr>
        <w:t>orientó sus esfuerzos en el cumplimiento de los</w:t>
      </w:r>
      <w:r w:rsidRPr="000A07A4">
        <w:rPr>
          <w:rFonts w:ascii="Arial" w:hAnsi="Arial" w:cs="Arial"/>
          <w:sz w:val="24"/>
          <w:szCs w:val="24"/>
        </w:rPr>
        <w:t xml:space="preserve"> tres (3) indicadores relacionados en la matriz, </w:t>
      </w:r>
      <w:r w:rsidR="00ED1CAE" w:rsidRPr="000A07A4">
        <w:rPr>
          <w:rFonts w:ascii="Arial" w:hAnsi="Arial" w:cs="Arial"/>
          <w:sz w:val="24"/>
          <w:szCs w:val="24"/>
        </w:rPr>
        <w:t>alcanzando así, porcentajes de avance superiores al 100%. Resaltando el indicador de escenarios culturales rehabilitados y dotados, que alcanzó un cumplimiento superior al 186%.</w:t>
      </w:r>
    </w:p>
    <w:p w:rsidR="009C620B" w:rsidRPr="000A07A4" w:rsidRDefault="00C96BB4" w:rsidP="00647628">
      <w:pPr>
        <w:pStyle w:val="Ttulo1"/>
        <w:numPr>
          <w:ilvl w:val="0"/>
          <w:numId w:val="1"/>
        </w:numPr>
        <w:spacing w:before="0"/>
        <w:ind w:left="-567" w:hanging="284"/>
        <w:jc w:val="both"/>
        <w:rPr>
          <w:rFonts w:ascii="Arial" w:hAnsi="Arial" w:cs="Arial"/>
          <w:color w:val="244061" w:themeColor="accent1" w:themeShade="80"/>
          <w:sz w:val="24"/>
          <w:szCs w:val="24"/>
        </w:rPr>
      </w:pPr>
      <w:bookmarkStart w:id="4" w:name="_Toc536727066"/>
      <w:r w:rsidRPr="000A07A4">
        <w:rPr>
          <w:rFonts w:ascii="Arial" w:hAnsi="Arial" w:cs="Arial"/>
          <w:color w:val="244061" w:themeColor="accent1" w:themeShade="80"/>
          <w:sz w:val="24"/>
          <w:szCs w:val="24"/>
        </w:rPr>
        <w:t>EMPRENDER EN CULTURA, MÁS OPORTUNIDADES PARA EL DESARROLLO</w:t>
      </w:r>
      <w:bookmarkEnd w:id="4"/>
    </w:p>
    <w:p w:rsidR="00CD2BA9" w:rsidRPr="000A07A4" w:rsidRDefault="00CD2BA9" w:rsidP="00CD2BA9">
      <w:pPr>
        <w:jc w:val="both"/>
        <w:rPr>
          <w:rFonts w:ascii="Arial" w:hAnsi="Arial" w:cs="Arial"/>
          <w:sz w:val="24"/>
          <w:szCs w:val="24"/>
        </w:rPr>
      </w:pPr>
    </w:p>
    <w:tbl>
      <w:tblPr>
        <w:tblW w:w="9498"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7"/>
        <w:gridCol w:w="993"/>
        <w:gridCol w:w="702"/>
        <w:gridCol w:w="702"/>
        <w:gridCol w:w="701"/>
        <w:gridCol w:w="841"/>
        <w:gridCol w:w="1001"/>
        <w:gridCol w:w="1311"/>
      </w:tblGrid>
      <w:tr w:rsidR="00C759EA" w:rsidRPr="00E259AE" w:rsidTr="00C759EA">
        <w:trPr>
          <w:trHeight w:val="675"/>
          <w:jc w:val="center"/>
        </w:trPr>
        <w:tc>
          <w:tcPr>
            <w:tcW w:w="3247" w:type="dxa"/>
            <w:shd w:val="clear" w:color="auto" w:fill="auto"/>
            <w:vAlign w:val="center"/>
            <w:hideMark/>
          </w:tcPr>
          <w:p w:rsidR="00C759EA" w:rsidRPr="00E259AE" w:rsidRDefault="00C759EA" w:rsidP="0023490A">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t xml:space="preserve">Emprendimiento cultural </w:t>
            </w:r>
          </w:p>
        </w:tc>
        <w:tc>
          <w:tcPr>
            <w:tcW w:w="993"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702"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702"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70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84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sidRPr="00E259AE">
              <w:rPr>
                <w:rFonts w:ascii="Arial" w:eastAsia="Times New Roman" w:hAnsi="Arial" w:cs="Arial"/>
                <w:b/>
                <w:bCs/>
                <w:color w:val="1F497D"/>
                <w:sz w:val="18"/>
                <w:szCs w:val="18"/>
                <w:lang w:eastAsia="es-CO"/>
              </w:rPr>
              <w:br/>
              <w:t>(parcial)</w:t>
            </w:r>
          </w:p>
        </w:tc>
        <w:tc>
          <w:tcPr>
            <w:tcW w:w="100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1311" w:type="dxa"/>
            <w:shd w:val="clear" w:color="auto" w:fill="auto"/>
            <w:vAlign w:val="center"/>
            <w:hideMark/>
          </w:tcPr>
          <w:p w:rsidR="00C759EA" w:rsidRPr="00E259AE" w:rsidRDefault="00C759EA" w:rsidP="0023490A">
            <w:pPr>
              <w:spacing w:after="0" w:line="240" w:lineRule="auto"/>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465"/>
          <w:jc w:val="center"/>
        </w:trPr>
        <w:tc>
          <w:tcPr>
            <w:tcW w:w="3247" w:type="dxa"/>
            <w:shd w:val="clear" w:color="auto" w:fill="auto"/>
            <w:vAlign w:val="center"/>
            <w:hideMark/>
          </w:tcPr>
          <w:p w:rsidR="00C759EA" w:rsidRPr="00E259AE" w:rsidRDefault="00C759EA" w:rsidP="0023490A">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Emprendedores culturales beneficiados con capital semilla y créditos</w:t>
            </w:r>
          </w:p>
        </w:tc>
        <w:tc>
          <w:tcPr>
            <w:tcW w:w="993"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88</w:t>
            </w:r>
          </w:p>
        </w:tc>
        <w:tc>
          <w:tcPr>
            <w:tcW w:w="702"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50</w:t>
            </w:r>
          </w:p>
        </w:tc>
        <w:tc>
          <w:tcPr>
            <w:tcW w:w="702"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242</w:t>
            </w:r>
          </w:p>
        </w:tc>
        <w:tc>
          <w:tcPr>
            <w:tcW w:w="70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243</w:t>
            </w:r>
          </w:p>
        </w:tc>
        <w:tc>
          <w:tcPr>
            <w:tcW w:w="84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276</w:t>
            </w:r>
          </w:p>
        </w:tc>
        <w:tc>
          <w:tcPr>
            <w:tcW w:w="100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200</w:t>
            </w:r>
          </w:p>
        </w:tc>
        <w:tc>
          <w:tcPr>
            <w:tcW w:w="131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138%</w:t>
            </w:r>
          </w:p>
        </w:tc>
      </w:tr>
      <w:tr w:rsidR="00C759EA" w:rsidRPr="00E259AE" w:rsidTr="00C759EA">
        <w:trPr>
          <w:trHeight w:val="465"/>
          <w:jc w:val="center"/>
        </w:trPr>
        <w:tc>
          <w:tcPr>
            <w:tcW w:w="3247" w:type="dxa"/>
            <w:shd w:val="clear" w:color="auto" w:fill="auto"/>
            <w:vAlign w:val="center"/>
          </w:tcPr>
          <w:p w:rsidR="00C759EA" w:rsidRPr="00E259AE" w:rsidRDefault="00C759EA" w:rsidP="0023490A">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Empresarios culturales apoyados para hacer presencia en mercados internacionales de industrias culturales</w:t>
            </w:r>
          </w:p>
        </w:tc>
        <w:tc>
          <w:tcPr>
            <w:tcW w:w="993"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52</w:t>
            </w:r>
          </w:p>
        </w:tc>
        <w:tc>
          <w:tcPr>
            <w:tcW w:w="702"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26</w:t>
            </w:r>
          </w:p>
        </w:tc>
        <w:tc>
          <w:tcPr>
            <w:tcW w:w="702"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101</w:t>
            </w:r>
          </w:p>
        </w:tc>
        <w:tc>
          <w:tcPr>
            <w:tcW w:w="701"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121</w:t>
            </w:r>
          </w:p>
        </w:tc>
        <w:tc>
          <w:tcPr>
            <w:tcW w:w="841"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132</w:t>
            </w:r>
          </w:p>
        </w:tc>
        <w:tc>
          <w:tcPr>
            <w:tcW w:w="1001"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83</w:t>
            </w:r>
          </w:p>
        </w:tc>
        <w:tc>
          <w:tcPr>
            <w:tcW w:w="1311"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159,04%</w:t>
            </w:r>
          </w:p>
        </w:tc>
      </w:tr>
      <w:tr w:rsidR="00C759EA" w:rsidRPr="00E259AE" w:rsidTr="00C759EA">
        <w:trPr>
          <w:trHeight w:val="465"/>
          <w:jc w:val="center"/>
        </w:trPr>
        <w:tc>
          <w:tcPr>
            <w:tcW w:w="3247" w:type="dxa"/>
            <w:shd w:val="clear" w:color="auto" w:fill="auto"/>
            <w:vAlign w:val="center"/>
          </w:tcPr>
          <w:p w:rsidR="00C759EA" w:rsidRPr="00E259AE" w:rsidRDefault="00C759EA" w:rsidP="0023490A">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Organizaciones del sector cultural formalizadas</w:t>
            </w:r>
          </w:p>
        </w:tc>
        <w:tc>
          <w:tcPr>
            <w:tcW w:w="993"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702"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40</w:t>
            </w:r>
          </w:p>
        </w:tc>
        <w:tc>
          <w:tcPr>
            <w:tcW w:w="702"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70</w:t>
            </w:r>
          </w:p>
        </w:tc>
        <w:tc>
          <w:tcPr>
            <w:tcW w:w="701"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98</w:t>
            </w:r>
          </w:p>
        </w:tc>
        <w:tc>
          <w:tcPr>
            <w:tcW w:w="841"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121</w:t>
            </w:r>
          </w:p>
        </w:tc>
        <w:tc>
          <w:tcPr>
            <w:tcW w:w="1001" w:type="dxa"/>
            <w:shd w:val="clear" w:color="auto" w:fill="auto"/>
            <w:vAlign w:val="center"/>
          </w:tcPr>
          <w:p w:rsidR="00C759EA" w:rsidRPr="00E259AE" w:rsidRDefault="00C759EA" w:rsidP="00B57AA6">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110</w:t>
            </w:r>
          </w:p>
        </w:tc>
        <w:tc>
          <w:tcPr>
            <w:tcW w:w="1311" w:type="dxa"/>
            <w:shd w:val="clear" w:color="auto" w:fill="auto"/>
            <w:vAlign w:val="center"/>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110%</w:t>
            </w:r>
          </w:p>
        </w:tc>
      </w:tr>
    </w:tbl>
    <w:p w:rsidR="00CD2BA9" w:rsidRPr="000A07A4" w:rsidRDefault="00CD2BA9" w:rsidP="00CD2BA9">
      <w:pPr>
        <w:jc w:val="both"/>
        <w:rPr>
          <w:rFonts w:ascii="Arial" w:hAnsi="Arial" w:cs="Arial"/>
          <w:sz w:val="24"/>
          <w:szCs w:val="24"/>
        </w:rPr>
      </w:pPr>
    </w:p>
    <w:p w:rsidR="00D62331" w:rsidRPr="000A07A4" w:rsidRDefault="00D62331" w:rsidP="00C759EA">
      <w:pPr>
        <w:spacing w:line="240" w:lineRule="auto"/>
        <w:jc w:val="both"/>
        <w:rPr>
          <w:rFonts w:ascii="Arial" w:hAnsi="Arial" w:cs="Arial"/>
          <w:sz w:val="24"/>
          <w:szCs w:val="24"/>
        </w:rPr>
      </w:pPr>
      <w:r w:rsidRPr="000A07A4">
        <w:rPr>
          <w:rFonts w:ascii="Arial" w:hAnsi="Arial" w:cs="Arial"/>
          <w:sz w:val="24"/>
          <w:szCs w:val="24"/>
        </w:rPr>
        <w:t xml:space="preserve">Desde el Ministerio de Cultura se fortalece la política para el Emprendimiento Cultural, que cuenta con el apoyo del Ministerio de Comercio, Industria y Turismo, la Agencia Nacional para la Superación de la Pobreza Extrema, el Departamento para la Prosperidad Social, la Unidad para la Atención y Reparación Integral de </w:t>
      </w:r>
      <w:r w:rsidRPr="000A07A4">
        <w:rPr>
          <w:rFonts w:ascii="Arial" w:hAnsi="Arial" w:cs="Arial"/>
          <w:sz w:val="24"/>
          <w:szCs w:val="24"/>
        </w:rPr>
        <w:lastRenderedPageBreak/>
        <w:t>Víctimas, y el Servicio Nacional de Aprendizaje, entre otras. De esta forma, se busca que esta política amplíe su cobertura a un mayor número de municipios y se beneficien más ciudadanos mediante oportunidades de formación en emprendimiento cultural, asistencia técnica y acompañamiento a los emprendedores por parte de organizaciones que incuben y aceleren las ideas de negocio, así como el acceso a créditos y recursos de capital semilla, para consolidar y dar sostenibilidad a los proyectos culturales como factor relevante para el desarrollo local.</w:t>
      </w:r>
    </w:p>
    <w:p w:rsidR="00D62331" w:rsidRPr="000A07A4" w:rsidRDefault="00D62331" w:rsidP="00C759EA">
      <w:pPr>
        <w:spacing w:line="240" w:lineRule="auto"/>
        <w:jc w:val="both"/>
        <w:rPr>
          <w:rFonts w:ascii="Arial" w:hAnsi="Arial" w:cs="Arial"/>
          <w:sz w:val="24"/>
          <w:szCs w:val="24"/>
        </w:rPr>
      </w:pPr>
      <w:r w:rsidRPr="000A07A4">
        <w:rPr>
          <w:rFonts w:ascii="Arial" w:hAnsi="Arial" w:cs="Arial"/>
          <w:sz w:val="24"/>
          <w:szCs w:val="24"/>
        </w:rPr>
        <w:t>Como se evidencia en la matriz, los tres</w:t>
      </w:r>
      <w:r w:rsidR="00537B05" w:rsidRPr="000A07A4">
        <w:rPr>
          <w:rFonts w:ascii="Arial" w:hAnsi="Arial" w:cs="Arial"/>
          <w:sz w:val="24"/>
          <w:szCs w:val="24"/>
        </w:rPr>
        <w:t xml:space="preserve"> (3)</w:t>
      </w:r>
      <w:r w:rsidRPr="000A07A4">
        <w:rPr>
          <w:rFonts w:ascii="Arial" w:hAnsi="Arial" w:cs="Arial"/>
          <w:sz w:val="24"/>
          <w:szCs w:val="24"/>
        </w:rPr>
        <w:t xml:space="preserve"> indicadores relacionados con el apoyo al emprendimiento cultural, cumplieron y superaron la meta establecida en el cuatrienio 2014-2018; resaltando el indicador de empresarios culturales apoyados para hacer presencia en mercados internacionales de industrias culturales, que en el cuatrienio apoyó a 132 empresarios, superando la meta (83) en 49 empresarios y alcanzando un avance porcentual superior a 159.</w:t>
      </w:r>
    </w:p>
    <w:p w:rsidR="001871C7" w:rsidRPr="000A07A4" w:rsidRDefault="00C96BB4" w:rsidP="00647628">
      <w:pPr>
        <w:pStyle w:val="Ttulo1"/>
        <w:numPr>
          <w:ilvl w:val="0"/>
          <w:numId w:val="1"/>
        </w:numPr>
        <w:spacing w:before="0"/>
        <w:ind w:left="-567" w:hanging="283"/>
        <w:jc w:val="both"/>
        <w:rPr>
          <w:rFonts w:ascii="Arial" w:hAnsi="Arial" w:cs="Arial"/>
          <w:color w:val="244061" w:themeColor="accent1" w:themeShade="80"/>
          <w:sz w:val="24"/>
          <w:szCs w:val="24"/>
        </w:rPr>
      </w:pPr>
      <w:bookmarkStart w:id="5" w:name="_Toc536727067"/>
      <w:r w:rsidRPr="000A07A4">
        <w:rPr>
          <w:rFonts w:ascii="Arial" w:hAnsi="Arial" w:cs="Arial"/>
          <w:color w:val="244061" w:themeColor="accent1" w:themeShade="80"/>
          <w:sz w:val="24"/>
          <w:szCs w:val="24"/>
        </w:rPr>
        <w:t>FORTALECER LOS PROCESOS MUSICALES PARA LA CONVIVENCIA Y LA RECONCILIACIÓN</w:t>
      </w:r>
      <w:r w:rsidR="00CD2BA9" w:rsidRPr="000A07A4">
        <w:rPr>
          <w:rFonts w:ascii="Arial" w:hAnsi="Arial" w:cs="Arial"/>
          <w:color w:val="244061" w:themeColor="accent1" w:themeShade="80"/>
          <w:sz w:val="24"/>
          <w:szCs w:val="24"/>
        </w:rPr>
        <w:t>.</w:t>
      </w:r>
      <w:bookmarkEnd w:id="5"/>
    </w:p>
    <w:p w:rsidR="00B662FF" w:rsidRPr="00B662FF" w:rsidRDefault="00B662FF" w:rsidP="00B662FF">
      <w:pPr>
        <w:rPr>
          <w:rFonts w:ascii="Arial" w:hAnsi="Arial" w:cs="Arial"/>
          <w:sz w:val="24"/>
          <w:szCs w:val="24"/>
        </w:rPr>
      </w:pPr>
    </w:p>
    <w:tbl>
      <w:tblPr>
        <w:tblW w:w="9598"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2"/>
        <w:gridCol w:w="749"/>
        <w:gridCol w:w="870"/>
        <w:gridCol w:w="791"/>
        <w:gridCol w:w="833"/>
        <w:gridCol w:w="992"/>
        <w:gridCol w:w="1134"/>
        <w:gridCol w:w="1417"/>
      </w:tblGrid>
      <w:tr w:rsidR="00C759EA" w:rsidRPr="00B662FF" w:rsidTr="00C759EA">
        <w:trPr>
          <w:trHeight w:val="738"/>
          <w:jc w:val="center"/>
        </w:trPr>
        <w:tc>
          <w:tcPr>
            <w:tcW w:w="2812" w:type="dxa"/>
            <w:shd w:val="clear" w:color="auto" w:fill="auto"/>
            <w:vAlign w:val="center"/>
            <w:hideMark/>
          </w:tcPr>
          <w:p w:rsidR="00C759EA" w:rsidRPr="00B662FF" w:rsidRDefault="00C759EA" w:rsidP="00D67D6D">
            <w:pPr>
              <w:spacing w:after="0" w:line="240" w:lineRule="auto"/>
              <w:ind w:right="1075"/>
              <w:rPr>
                <w:rFonts w:ascii="Arial" w:eastAsia="Times New Roman" w:hAnsi="Arial" w:cs="Arial"/>
                <w:b/>
                <w:bCs/>
                <w:color w:val="083669"/>
                <w:sz w:val="18"/>
                <w:szCs w:val="18"/>
                <w:lang w:eastAsia="es-CO"/>
              </w:rPr>
            </w:pPr>
            <w:r w:rsidRPr="00B662FF">
              <w:rPr>
                <w:rFonts w:ascii="Arial" w:eastAsia="Times New Roman" w:hAnsi="Arial" w:cs="Arial"/>
                <w:b/>
                <w:bCs/>
                <w:color w:val="083669"/>
                <w:sz w:val="18"/>
                <w:szCs w:val="18"/>
                <w:lang w:eastAsia="es-CO"/>
              </w:rPr>
              <w:t>Música para la convivencia</w:t>
            </w:r>
          </w:p>
        </w:tc>
        <w:tc>
          <w:tcPr>
            <w:tcW w:w="749"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Línea Base 2014</w:t>
            </w:r>
          </w:p>
        </w:tc>
        <w:tc>
          <w:tcPr>
            <w:tcW w:w="870"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Cierre 2015</w:t>
            </w:r>
          </w:p>
        </w:tc>
        <w:tc>
          <w:tcPr>
            <w:tcW w:w="791"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Cierre 2016</w:t>
            </w:r>
          </w:p>
        </w:tc>
        <w:tc>
          <w:tcPr>
            <w:tcW w:w="833"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Cierre 2017</w:t>
            </w:r>
          </w:p>
        </w:tc>
        <w:tc>
          <w:tcPr>
            <w:tcW w:w="992"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Cierre 2018</w:t>
            </w:r>
            <w:r w:rsidRPr="00B662FF">
              <w:rPr>
                <w:rFonts w:ascii="Arial" w:eastAsia="Times New Roman" w:hAnsi="Arial" w:cs="Arial"/>
                <w:b/>
                <w:bCs/>
                <w:color w:val="1F497D"/>
                <w:sz w:val="18"/>
                <w:szCs w:val="18"/>
                <w:lang w:eastAsia="es-CO"/>
              </w:rPr>
              <w:br/>
              <w:t>(parcial)</w:t>
            </w:r>
          </w:p>
        </w:tc>
        <w:tc>
          <w:tcPr>
            <w:tcW w:w="1134"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Meta cuatrienio</w:t>
            </w:r>
          </w:p>
        </w:tc>
        <w:tc>
          <w:tcPr>
            <w:tcW w:w="1417"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b/>
                <w:bCs/>
                <w:color w:val="1F497D"/>
                <w:sz w:val="18"/>
                <w:szCs w:val="18"/>
                <w:lang w:eastAsia="es-CO"/>
              </w:rPr>
            </w:pPr>
            <w:r w:rsidRPr="00B662FF">
              <w:rPr>
                <w:rFonts w:ascii="Arial" w:eastAsia="Times New Roman" w:hAnsi="Arial" w:cs="Arial"/>
                <w:b/>
                <w:bCs/>
                <w:color w:val="1F497D"/>
                <w:sz w:val="18"/>
                <w:szCs w:val="18"/>
                <w:lang w:eastAsia="es-CO"/>
              </w:rPr>
              <w:t>Porcentaje de cumplimiento cuatrienio</w:t>
            </w:r>
          </w:p>
        </w:tc>
      </w:tr>
      <w:tr w:rsidR="00C759EA" w:rsidRPr="00B662FF" w:rsidTr="00C759EA">
        <w:trPr>
          <w:trHeight w:val="458"/>
          <w:jc w:val="center"/>
        </w:trPr>
        <w:tc>
          <w:tcPr>
            <w:tcW w:w="2812" w:type="dxa"/>
            <w:shd w:val="clear" w:color="auto" w:fill="auto"/>
            <w:vAlign w:val="center"/>
            <w:hideMark/>
          </w:tcPr>
          <w:p w:rsidR="00C759EA" w:rsidRPr="00B662FF" w:rsidRDefault="00C759EA" w:rsidP="00D67D6D">
            <w:pPr>
              <w:spacing w:after="0" w:line="240" w:lineRule="auto"/>
              <w:jc w:val="both"/>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Niños y jóvenes en procesos de formación musical</w:t>
            </w:r>
          </w:p>
        </w:tc>
        <w:tc>
          <w:tcPr>
            <w:tcW w:w="749"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93</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000</w:t>
            </w:r>
          </w:p>
        </w:tc>
        <w:tc>
          <w:tcPr>
            <w:tcW w:w="870"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108</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000</w:t>
            </w:r>
          </w:p>
        </w:tc>
        <w:tc>
          <w:tcPr>
            <w:tcW w:w="791"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118</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207</w:t>
            </w:r>
          </w:p>
        </w:tc>
        <w:tc>
          <w:tcPr>
            <w:tcW w:w="833"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126</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370</w:t>
            </w:r>
          </w:p>
        </w:tc>
        <w:tc>
          <w:tcPr>
            <w:tcW w:w="992"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144</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140</w:t>
            </w:r>
          </w:p>
        </w:tc>
        <w:tc>
          <w:tcPr>
            <w:tcW w:w="1134"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130</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000</w:t>
            </w:r>
          </w:p>
        </w:tc>
        <w:tc>
          <w:tcPr>
            <w:tcW w:w="1417"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111%</w:t>
            </w:r>
          </w:p>
        </w:tc>
      </w:tr>
      <w:tr w:rsidR="00C759EA" w:rsidRPr="00B662FF" w:rsidTr="00C759EA">
        <w:trPr>
          <w:trHeight w:val="724"/>
          <w:jc w:val="center"/>
        </w:trPr>
        <w:tc>
          <w:tcPr>
            <w:tcW w:w="2812" w:type="dxa"/>
            <w:shd w:val="clear" w:color="auto" w:fill="auto"/>
            <w:vAlign w:val="center"/>
            <w:hideMark/>
          </w:tcPr>
          <w:p w:rsidR="00C759EA" w:rsidRPr="00B662FF" w:rsidRDefault="00C759EA" w:rsidP="00D67D6D">
            <w:pPr>
              <w:spacing w:after="0" w:line="240" w:lineRule="auto"/>
              <w:jc w:val="both"/>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Escuelas de Música fortalecidas fase II</w:t>
            </w:r>
          </w:p>
        </w:tc>
        <w:tc>
          <w:tcPr>
            <w:tcW w:w="749"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0</w:t>
            </w:r>
          </w:p>
        </w:tc>
        <w:tc>
          <w:tcPr>
            <w:tcW w:w="870"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723</w:t>
            </w:r>
          </w:p>
        </w:tc>
        <w:tc>
          <w:tcPr>
            <w:tcW w:w="791"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773</w:t>
            </w:r>
          </w:p>
        </w:tc>
        <w:tc>
          <w:tcPr>
            <w:tcW w:w="833"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840</w:t>
            </w:r>
          </w:p>
        </w:tc>
        <w:tc>
          <w:tcPr>
            <w:tcW w:w="992"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918</w:t>
            </w:r>
          </w:p>
        </w:tc>
        <w:tc>
          <w:tcPr>
            <w:tcW w:w="1134"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3</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240</w:t>
            </w:r>
          </w:p>
        </w:tc>
        <w:tc>
          <w:tcPr>
            <w:tcW w:w="1417"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100%</w:t>
            </w:r>
          </w:p>
        </w:tc>
      </w:tr>
      <w:tr w:rsidR="00C759EA" w:rsidRPr="00B662FF" w:rsidTr="00C759EA">
        <w:trPr>
          <w:trHeight w:val="724"/>
          <w:jc w:val="center"/>
        </w:trPr>
        <w:tc>
          <w:tcPr>
            <w:tcW w:w="2812" w:type="dxa"/>
            <w:shd w:val="clear" w:color="auto" w:fill="auto"/>
            <w:vAlign w:val="center"/>
            <w:hideMark/>
          </w:tcPr>
          <w:p w:rsidR="00C759EA" w:rsidRPr="00B662FF" w:rsidRDefault="00C759EA" w:rsidP="00D67D6D">
            <w:pPr>
              <w:spacing w:after="0" w:line="240" w:lineRule="auto"/>
              <w:jc w:val="both"/>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Dotaciones de instrumentos musicales entregadas</w:t>
            </w:r>
          </w:p>
        </w:tc>
        <w:tc>
          <w:tcPr>
            <w:tcW w:w="749"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111</w:t>
            </w:r>
          </w:p>
        </w:tc>
        <w:tc>
          <w:tcPr>
            <w:tcW w:w="870"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200</w:t>
            </w:r>
          </w:p>
        </w:tc>
        <w:tc>
          <w:tcPr>
            <w:tcW w:w="791"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244</w:t>
            </w:r>
          </w:p>
        </w:tc>
        <w:tc>
          <w:tcPr>
            <w:tcW w:w="833"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276</w:t>
            </w:r>
          </w:p>
        </w:tc>
        <w:tc>
          <w:tcPr>
            <w:tcW w:w="992"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306</w:t>
            </w:r>
          </w:p>
        </w:tc>
        <w:tc>
          <w:tcPr>
            <w:tcW w:w="1134"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017</w:t>
            </w:r>
          </w:p>
        </w:tc>
        <w:tc>
          <w:tcPr>
            <w:tcW w:w="1417"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101%</w:t>
            </w:r>
          </w:p>
        </w:tc>
      </w:tr>
      <w:tr w:rsidR="00C759EA" w:rsidRPr="00B662FF" w:rsidTr="00C759EA">
        <w:trPr>
          <w:trHeight w:val="798"/>
          <w:jc w:val="center"/>
        </w:trPr>
        <w:tc>
          <w:tcPr>
            <w:tcW w:w="2812" w:type="dxa"/>
            <w:shd w:val="clear" w:color="auto" w:fill="auto"/>
            <w:vAlign w:val="center"/>
            <w:hideMark/>
          </w:tcPr>
          <w:p w:rsidR="00C759EA" w:rsidRPr="00B662FF" w:rsidRDefault="00C759EA" w:rsidP="00D67D6D">
            <w:pPr>
              <w:spacing w:after="0" w:line="240" w:lineRule="auto"/>
              <w:jc w:val="both"/>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 xml:space="preserve">Cupos de formación para la cualificación musical y pedagógica de los maestros de música utilizados </w:t>
            </w:r>
          </w:p>
        </w:tc>
        <w:tc>
          <w:tcPr>
            <w:tcW w:w="749"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349</w:t>
            </w:r>
          </w:p>
        </w:tc>
        <w:tc>
          <w:tcPr>
            <w:tcW w:w="870"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691</w:t>
            </w:r>
          </w:p>
        </w:tc>
        <w:tc>
          <w:tcPr>
            <w:tcW w:w="791"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601</w:t>
            </w:r>
          </w:p>
        </w:tc>
        <w:tc>
          <w:tcPr>
            <w:tcW w:w="833"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616</w:t>
            </w:r>
          </w:p>
        </w:tc>
        <w:tc>
          <w:tcPr>
            <w:tcW w:w="992"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639</w:t>
            </w:r>
          </w:p>
        </w:tc>
        <w:tc>
          <w:tcPr>
            <w:tcW w:w="1134"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2</w:t>
            </w:r>
            <w:r>
              <w:rPr>
                <w:rFonts w:ascii="Arial" w:eastAsia="Times New Roman" w:hAnsi="Arial" w:cs="Arial"/>
                <w:color w:val="000000"/>
                <w:sz w:val="18"/>
                <w:szCs w:val="18"/>
                <w:lang w:eastAsia="es-CO"/>
              </w:rPr>
              <w:t>.</w:t>
            </w:r>
            <w:r w:rsidRPr="00B662FF">
              <w:rPr>
                <w:rFonts w:ascii="Arial" w:eastAsia="Times New Roman" w:hAnsi="Arial" w:cs="Arial"/>
                <w:color w:val="000000"/>
                <w:sz w:val="18"/>
                <w:szCs w:val="18"/>
                <w:lang w:eastAsia="es-CO"/>
              </w:rPr>
              <w:t>400</w:t>
            </w:r>
          </w:p>
        </w:tc>
        <w:tc>
          <w:tcPr>
            <w:tcW w:w="1417" w:type="dxa"/>
            <w:shd w:val="clear" w:color="auto" w:fill="auto"/>
            <w:vAlign w:val="center"/>
            <w:hideMark/>
          </w:tcPr>
          <w:p w:rsidR="00C759EA" w:rsidRPr="00B662FF" w:rsidRDefault="00C759EA" w:rsidP="00D67D6D">
            <w:pPr>
              <w:spacing w:after="0" w:line="240" w:lineRule="auto"/>
              <w:jc w:val="center"/>
              <w:rPr>
                <w:rFonts w:ascii="Arial" w:eastAsia="Times New Roman" w:hAnsi="Arial" w:cs="Arial"/>
                <w:color w:val="000000"/>
                <w:sz w:val="18"/>
                <w:szCs w:val="18"/>
                <w:lang w:eastAsia="es-CO"/>
              </w:rPr>
            </w:pPr>
            <w:r w:rsidRPr="00B662FF">
              <w:rPr>
                <w:rFonts w:ascii="Arial" w:eastAsia="Times New Roman" w:hAnsi="Arial" w:cs="Arial"/>
                <w:color w:val="000000"/>
                <w:sz w:val="18"/>
                <w:szCs w:val="18"/>
                <w:lang w:eastAsia="es-CO"/>
              </w:rPr>
              <w:t>106%</w:t>
            </w:r>
          </w:p>
        </w:tc>
      </w:tr>
    </w:tbl>
    <w:p w:rsidR="00B662FF" w:rsidRPr="00B662FF" w:rsidRDefault="00B662FF" w:rsidP="00B662FF">
      <w:pPr>
        <w:rPr>
          <w:rFonts w:ascii="Arial" w:hAnsi="Arial" w:cs="Arial"/>
          <w:sz w:val="24"/>
          <w:szCs w:val="24"/>
        </w:rPr>
      </w:pPr>
    </w:p>
    <w:p w:rsidR="00DD7165" w:rsidRPr="00B662FF" w:rsidRDefault="00B662FF" w:rsidP="00C759EA">
      <w:pPr>
        <w:spacing w:line="240" w:lineRule="auto"/>
        <w:jc w:val="both"/>
        <w:rPr>
          <w:rFonts w:ascii="Arial" w:hAnsi="Arial" w:cs="Arial"/>
          <w:sz w:val="24"/>
          <w:szCs w:val="24"/>
        </w:rPr>
      </w:pPr>
      <w:r w:rsidRPr="00B662FF">
        <w:rPr>
          <w:rFonts w:ascii="Arial" w:hAnsi="Arial" w:cs="Arial"/>
          <w:sz w:val="24"/>
          <w:szCs w:val="24"/>
        </w:rPr>
        <w:t xml:space="preserve">El indicador </w:t>
      </w:r>
      <w:r w:rsidR="00DD7165">
        <w:rPr>
          <w:rFonts w:ascii="Arial" w:hAnsi="Arial" w:cs="Arial"/>
          <w:sz w:val="24"/>
          <w:szCs w:val="24"/>
        </w:rPr>
        <w:t xml:space="preserve">de </w:t>
      </w:r>
      <w:r w:rsidRPr="00B662FF">
        <w:rPr>
          <w:rFonts w:ascii="Arial" w:hAnsi="Arial" w:cs="Arial"/>
          <w:sz w:val="24"/>
          <w:szCs w:val="24"/>
        </w:rPr>
        <w:t xml:space="preserve">Niños y jóvenes en procesos de formación musical, </w:t>
      </w:r>
      <w:r w:rsidR="00DD7165">
        <w:rPr>
          <w:rFonts w:ascii="Arial" w:hAnsi="Arial" w:cs="Arial"/>
          <w:sz w:val="24"/>
          <w:szCs w:val="24"/>
        </w:rPr>
        <w:t xml:space="preserve">relaciona la cantidad de </w:t>
      </w:r>
      <w:r w:rsidRPr="00B662FF">
        <w:rPr>
          <w:rFonts w:ascii="Arial" w:hAnsi="Arial" w:cs="Arial"/>
          <w:sz w:val="24"/>
          <w:szCs w:val="24"/>
        </w:rPr>
        <w:t>niños y jóvenes beneficiados en los procesos de formación de las escuelas municipales de música apoyadas por el Plan Nacional de Música para la Convivencia - PNMC. De conformidad con la meta establecida en el cuatrienio, se refleja un cumplimiento del 111% equivalente a 144.140 de la población atendida por las</w:t>
      </w:r>
      <w:r w:rsidR="00DD7165">
        <w:rPr>
          <w:rFonts w:ascii="Arial" w:hAnsi="Arial" w:cs="Arial"/>
          <w:sz w:val="24"/>
          <w:szCs w:val="24"/>
        </w:rPr>
        <w:t xml:space="preserve"> escuelas municipales de música.</w:t>
      </w:r>
    </w:p>
    <w:p w:rsidR="00B662FF" w:rsidRPr="00B662FF" w:rsidRDefault="00B662FF" w:rsidP="00C759EA">
      <w:pPr>
        <w:spacing w:line="240" w:lineRule="auto"/>
        <w:jc w:val="both"/>
        <w:rPr>
          <w:rFonts w:ascii="Arial" w:hAnsi="Arial" w:cs="Arial"/>
          <w:sz w:val="24"/>
          <w:szCs w:val="24"/>
        </w:rPr>
      </w:pPr>
      <w:r w:rsidRPr="00B662FF">
        <w:rPr>
          <w:rFonts w:ascii="Arial" w:hAnsi="Arial" w:cs="Arial"/>
          <w:sz w:val="24"/>
          <w:szCs w:val="24"/>
        </w:rPr>
        <w:t xml:space="preserve">Las Escuelas Municipales de Música son aquellas instituciones creadas por Acuerdo del Concejo Municipal o por Decreto del Alcalde del municipio, que realizan la función pública de garantizar a la población su derecho a la práctica y la </w:t>
      </w:r>
      <w:r w:rsidRPr="00B662FF">
        <w:rPr>
          <w:rFonts w:ascii="Arial" w:hAnsi="Arial" w:cs="Arial"/>
          <w:sz w:val="24"/>
          <w:szCs w:val="24"/>
        </w:rPr>
        <w:lastRenderedPageBreak/>
        <w:t>educación musical. Este indicador (Incentivo y fomento a la formación artística y creación cultural) da cuenta del número de escuelas municipales de música fortalecidas durante el cuatrienio, mediante la implementación de estrategias de gestión, formación y dotación del Plan Nacional de Música para la Convivencia. Durante los 4 años, las escuelas municipales de música priorizadas lograron un cumplimiento de 3</w:t>
      </w:r>
      <w:r w:rsidR="00DD7165">
        <w:rPr>
          <w:rFonts w:ascii="Arial" w:hAnsi="Arial" w:cs="Arial"/>
          <w:sz w:val="24"/>
          <w:szCs w:val="24"/>
        </w:rPr>
        <w:t>.</w:t>
      </w:r>
      <w:r w:rsidRPr="00B662FF">
        <w:rPr>
          <w:rFonts w:ascii="Arial" w:hAnsi="Arial" w:cs="Arial"/>
          <w:sz w:val="24"/>
          <w:szCs w:val="24"/>
        </w:rPr>
        <w:t xml:space="preserve">254 escuelas fortalecidas logrando un cumplimiento </w:t>
      </w:r>
      <w:r w:rsidR="00DD7165">
        <w:rPr>
          <w:rFonts w:ascii="Arial" w:hAnsi="Arial" w:cs="Arial"/>
          <w:sz w:val="24"/>
          <w:szCs w:val="24"/>
        </w:rPr>
        <w:t>superior al 100%.</w:t>
      </w:r>
    </w:p>
    <w:p w:rsidR="00B662FF" w:rsidRPr="00B662FF" w:rsidRDefault="00DD7165" w:rsidP="00C759EA">
      <w:pPr>
        <w:spacing w:line="240" w:lineRule="auto"/>
        <w:jc w:val="both"/>
        <w:rPr>
          <w:rFonts w:ascii="Arial" w:hAnsi="Arial" w:cs="Arial"/>
          <w:sz w:val="24"/>
          <w:szCs w:val="24"/>
        </w:rPr>
      </w:pPr>
      <w:r>
        <w:rPr>
          <w:rFonts w:ascii="Arial" w:hAnsi="Arial" w:cs="Arial"/>
          <w:sz w:val="24"/>
          <w:szCs w:val="24"/>
        </w:rPr>
        <w:t>En cuanto al i</w:t>
      </w:r>
      <w:r w:rsidR="00B662FF" w:rsidRPr="00B662FF">
        <w:rPr>
          <w:rFonts w:ascii="Arial" w:hAnsi="Arial" w:cs="Arial"/>
          <w:sz w:val="24"/>
          <w:szCs w:val="24"/>
        </w:rPr>
        <w:t>ndicador Dotaciones de instrumentos musicales entregadas, reporta el número de dotaciones de instrumentos musicales entregadas a los entes territoriales, para el fortalecimiento de las escuelas de música y las prácticas musicales, a través de convocatoria pública o preselección de aquellos que cumplan con requerimientos del Plan Nacional de Música para la Convivencia</w:t>
      </w:r>
      <w:r>
        <w:rPr>
          <w:rFonts w:ascii="Arial" w:hAnsi="Arial" w:cs="Arial"/>
          <w:sz w:val="24"/>
          <w:szCs w:val="24"/>
        </w:rPr>
        <w:t>. Se</w:t>
      </w:r>
      <w:r w:rsidR="00B662FF" w:rsidRPr="00B662FF">
        <w:rPr>
          <w:rFonts w:ascii="Arial" w:hAnsi="Arial" w:cs="Arial"/>
          <w:sz w:val="24"/>
          <w:szCs w:val="24"/>
        </w:rPr>
        <w:t xml:space="preserve"> realizó el seguimiento y control a la entrega de los sets de instrumentos musicales, en donde se obtuvo un cumplimiento del 101% equivalente 1</w:t>
      </w:r>
      <w:r>
        <w:rPr>
          <w:rFonts w:ascii="Arial" w:hAnsi="Arial" w:cs="Arial"/>
          <w:sz w:val="24"/>
          <w:szCs w:val="24"/>
        </w:rPr>
        <w:t>.026 sets entregados.</w:t>
      </w:r>
    </w:p>
    <w:p w:rsidR="00476DBD" w:rsidRPr="000A07A4" w:rsidRDefault="00DD7165" w:rsidP="00C759EA">
      <w:pPr>
        <w:spacing w:line="240" w:lineRule="auto"/>
        <w:jc w:val="both"/>
        <w:rPr>
          <w:rFonts w:ascii="Arial" w:hAnsi="Arial" w:cs="Arial"/>
          <w:sz w:val="24"/>
          <w:szCs w:val="24"/>
        </w:rPr>
      </w:pPr>
      <w:r>
        <w:rPr>
          <w:rFonts w:ascii="Arial" w:hAnsi="Arial" w:cs="Arial"/>
          <w:sz w:val="24"/>
          <w:szCs w:val="24"/>
        </w:rPr>
        <w:t>Finalmente, e</w:t>
      </w:r>
      <w:r w:rsidR="00B662FF" w:rsidRPr="00B662FF">
        <w:rPr>
          <w:rFonts w:ascii="Arial" w:hAnsi="Arial" w:cs="Arial"/>
          <w:sz w:val="24"/>
          <w:szCs w:val="24"/>
        </w:rPr>
        <w:t>l indicador Cupos de formación para la cualificación musical y pedagógica de los maestros de música utilizados, reporta los cupos utilizados de la oferta de formación para maestros de música, a través del componente de formación del Plan Nacional de Música para la Convivencia - PNMC, buscando contribuir a su cualificació</w:t>
      </w:r>
      <w:r>
        <w:rPr>
          <w:rFonts w:ascii="Arial" w:hAnsi="Arial" w:cs="Arial"/>
          <w:sz w:val="24"/>
          <w:szCs w:val="24"/>
        </w:rPr>
        <w:t xml:space="preserve">n técnica, musical y pedagógica. </w:t>
      </w:r>
      <w:r w:rsidR="00B662FF" w:rsidRPr="00B662FF">
        <w:rPr>
          <w:rFonts w:ascii="Arial" w:hAnsi="Arial" w:cs="Arial"/>
          <w:sz w:val="24"/>
          <w:szCs w:val="24"/>
        </w:rPr>
        <w:t xml:space="preserve">En el periodo comprendido entre 2014-2018 se ofrecieron </w:t>
      </w:r>
      <w:r w:rsidR="006029CA">
        <w:rPr>
          <w:rFonts w:ascii="Arial" w:hAnsi="Arial" w:cs="Arial"/>
          <w:sz w:val="24"/>
          <w:szCs w:val="24"/>
        </w:rPr>
        <w:t>2.547</w:t>
      </w:r>
      <w:r w:rsidR="00B662FF" w:rsidRPr="00B662FF">
        <w:rPr>
          <w:rFonts w:ascii="Arial" w:hAnsi="Arial" w:cs="Arial"/>
          <w:sz w:val="24"/>
          <w:szCs w:val="24"/>
        </w:rPr>
        <w:t xml:space="preserve"> cupos para la formación musical y pedagógica de los maestros de música</w:t>
      </w:r>
      <w:r>
        <w:rPr>
          <w:rFonts w:ascii="Arial" w:hAnsi="Arial" w:cs="Arial"/>
          <w:sz w:val="24"/>
          <w:szCs w:val="24"/>
        </w:rPr>
        <w:t>,</w:t>
      </w:r>
      <w:r w:rsidR="00B662FF" w:rsidRPr="00B662FF">
        <w:rPr>
          <w:rFonts w:ascii="Arial" w:hAnsi="Arial" w:cs="Arial"/>
          <w:sz w:val="24"/>
          <w:szCs w:val="24"/>
        </w:rPr>
        <w:t xml:space="preserve"> razón por la cual se evidencia un porcentaje superior al 100% con respecto a la meta establecida para el cuatrienio</w:t>
      </w:r>
      <w:r w:rsidR="006029CA">
        <w:rPr>
          <w:rFonts w:ascii="Arial" w:hAnsi="Arial" w:cs="Arial"/>
          <w:sz w:val="24"/>
          <w:szCs w:val="24"/>
        </w:rPr>
        <w:t>.</w:t>
      </w:r>
    </w:p>
    <w:p w:rsidR="00C96BB4" w:rsidRPr="000A07A4" w:rsidRDefault="00C96BB4" w:rsidP="00EA55AB">
      <w:pPr>
        <w:pStyle w:val="Ttulo1"/>
        <w:numPr>
          <w:ilvl w:val="0"/>
          <w:numId w:val="1"/>
        </w:numPr>
        <w:spacing w:before="0"/>
        <w:ind w:left="-567" w:hanging="283"/>
        <w:jc w:val="both"/>
        <w:rPr>
          <w:rFonts w:ascii="Arial" w:hAnsi="Arial" w:cs="Arial"/>
          <w:color w:val="244061" w:themeColor="accent1" w:themeShade="80"/>
          <w:sz w:val="24"/>
          <w:szCs w:val="24"/>
        </w:rPr>
      </w:pPr>
      <w:bookmarkStart w:id="6" w:name="_Toc536727068"/>
      <w:r w:rsidRPr="000A07A4">
        <w:rPr>
          <w:rFonts w:ascii="Arial" w:hAnsi="Arial" w:cs="Arial"/>
          <w:color w:val="244061" w:themeColor="accent1" w:themeShade="80"/>
          <w:sz w:val="24"/>
          <w:szCs w:val="24"/>
        </w:rPr>
        <w:t>VALORAR EL PATRIMONIO CULTURAL PARA EL FORTALECIMIENTO DE LAS IDENTIDADES Y LA MEMORIA</w:t>
      </w:r>
      <w:bookmarkEnd w:id="6"/>
    </w:p>
    <w:p w:rsidR="00C96BB4" w:rsidRPr="000A07A4" w:rsidRDefault="00C96BB4" w:rsidP="00EA55AB">
      <w:pPr>
        <w:rPr>
          <w:rFonts w:ascii="Arial" w:hAnsi="Arial" w:cs="Arial"/>
          <w:sz w:val="24"/>
          <w:szCs w:val="24"/>
        </w:rPr>
      </w:pPr>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611"/>
        <w:gridCol w:w="661"/>
        <w:gridCol w:w="661"/>
        <w:gridCol w:w="661"/>
        <w:gridCol w:w="661"/>
        <w:gridCol w:w="1001"/>
        <w:gridCol w:w="1498"/>
      </w:tblGrid>
      <w:tr w:rsidR="00C759EA" w:rsidRPr="006865E7" w:rsidTr="00C759EA">
        <w:trPr>
          <w:trHeight w:val="660"/>
          <w:jc w:val="center"/>
        </w:trPr>
        <w:tc>
          <w:tcPr>
            <w:tcW w:w="1396" w:type="pct"/>
            <w:shd w:val="clear" w:color="auto" w:fill="auto"/>
            <w:vAlign w:val="center"/>
            <w:hideMark/>
          </w:tcPr>
          <w:p w:rsidR="00C759EA" w:rsidRPr="006865E7" w:rsidRDefault="00C759EA" w:rsidP="00D67D6D">
            <w:pPr>
              <w:spacing w:after="0" w:line="240" w:lineRule="auto"/>
              <w:rPr>
                <w:rFonts w:ascii="Arial" w:eastAsia="Times New Roman" w:hAnsi="Arial" w:cs="Arial"/>
                <w:b/>
                <w:bCs/>
                <w:color w:val="083669"/>
                <w:sz w:val="18"/>
                <w:szCs w:val="18"/>
                <w:lang w:eastAsia="es-CO"/>
              </w:rPr>
            </w:pPr>
            <w:r w:rsidRPr="006865E7">
              <w:rPr>
                <w:rFonts w:ascii="Arial" w:eastAsia="Times New Roman" w:hAnsi="Arial" w:cs="Arial"/>
                <w:b/>
                <w:bCs/>
                <w:color w:val="083669"/>
                <w:sz w:val="18"/>
                <w:szCs w:val="18"/>
                <w:lang w:eastAsia="es-CO"/>
              </w:rPr>
              <w:t xml:space="preserve">Valoración del patrimonio cultural </w:t>
            </w:r>
          </w:p>
        </w:tc>
        <w:tc>
          <w:tcPr>
            <w:tcW w:w="383"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Línea Base 2014</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Cierre 2015</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Cierre 2016</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Cierre 2017</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Cierre 2018</w:t>
            </w:r>
          </w:p>
        </w:tc>
        <w:tc>
          <w:tcPr>
            <w:tcW w:w="627"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Meta cuatrienio</w:t>
            </w:r>
          </w:p>
        </w:tc>
        <w:tc>
          <w:tcPr>
            <w:tcW w:w="939"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b/>
                <w:bCs/>
                <w:color w:val="1F497D"/>
                <w:sz w:val="18"/>
                <w:szCs w:val="18"/>
                <w:lang w:eastAsia="es-CO"/>
              </w:rPr>
            </w:pPr>
            <w:r w:rsidRPr="006865E7">
              <w:rPr>
                <w:rFonts w:ascii="Arial" w:eastAsia="Times New Roman" w:hAnsi="Arial" w:cs="Arial"/>
                <w:b/>
                <w:bCs/>
                <w:color w:val="1F497D"/>
                <w:sz w:val="18"/>
                <w:szCs w:val="18"/>
                <w:lang w:eastAsia="es-CO"/>
              </w:rPr>
              <w:t>Porcentaje de cumplimiento cuatrienio</w:t>
            </w:r>
          </w:p>
        </w:tc>
      </w:tr>
      <w:tr w:rsidR="00C759EA" w:rsidRPr="006865E7" w:rsidTr="00C759EA">
        <w:trPr>
          <w:trHeight w:val="914"/>
          <w:jc w:val="center"/>
        </w:trPr>
        <w:tc>
          <w:tcPr>
            <w:tcW w:w="1396" w:type="pct"/>
            <w:shd w:val="clear" w:color="auto" w:fill="auto"/>
            <w:vAlign w:val="center"/>
            <w:hideMark/>
          </w:tcPr>
          <w:p w:rsidR="00C759EA" w:rsidRPr="006865E7" w:rsidRDefault="00C759EA" w:rsidP="00D67D6D">
            <w:pPr>
              <w:spacing w:after="0" w:line="240" w:lineRule="auto"/>
              <w:jc w:val="both"/>
              <w:rPr>
                <w:rFonts w:ascii="Arial" w:eastAsia="Times New Roman" w:hAnsi="Arial" w:cs="Arial"/>
                <w:color w:val="000000"/>
                <w:sz w:val="18"/>
                <w:szCs w:val="18"/>
                <w:lang w:eastAsia="es-CO"/>
              </w:rPr>
            </w:pPr>
            <w:r w:rsidRPr="006865E7">
              <w:rPr>
                <w:rFonts w:ascii="Arial" w:eastAsia="Times New Roman" w:hAnsi="Arial" w:cs="Arial"/>
                <w:noProof/>
                <w:color w:val="000000"/>
                <w:sz w:val="18"/>
                <w:szCs w:val="18"/>
                <w:lang w:eastAsia="es-CO"/>
              </w:rPr>
              <mc:AlternateContent>
                <mc:Choice Requires="wps">
                  <w:drawing>
                    <wp:anchor distT="0" distB="0" distL="114300" distR="114300" simplePos="0" relativeHeight="251665408" behindDoc="0" locked="0" layoutInCell="1" allowOverlap="1" wp14:anchorId="3D539BCF" wp14:editId="4B8D2B44">
                      <wp:simplePos x="0" y="0"/>
                      <wp:positionH relativeFrom="column">
                        <wp:posOffset>2581275</wp:posOffset>
                      </wp:positionH>
                      <wp:positionV relativeFrom="paragraph">
                        <wp:posOffset>85725</wp:posOffset>
                      </wp:positionV>
                      <wp:extent cx="180975" cy="0"/>
                      <wp:effectExtent l="0" t="0" r="0" b="0"/>
                      <wp:wrapNone/>
                      <wp:docPr id="1" name="Elipse 1"/>
                      <wp:cNvGraphicFramePr/>
                      <a:graphic xmlns:a="http://schemas.openxmlformats.org/drawingml/2006/main">
                        <a:graphicData uri="http://schemas.microsoft.com/office/word/2010/wordprocessingShape">
                          <wps:wsp>
                            <wps:cNvSpPr/>
                            <wps:spPr>
                              <a:xfrm>
                                <a:off x="0" y="0"/>
                                <a:ext cx="180000" cy="0"/>
                              </a:xfrm>
                              <a:prstGeom prst="ellipse">
                                <a:avLst/>
                              </a:prstGeom>
                              <a:solidFill>
                                <a:srgbClr val="00863D"/>
                              </a:solidFill>
                            </wps:spPr>
                            <wps:style>
                              <a:lnRef idx="0">
                                <a:schemeClr val="accent2"/>
                              </a:lnRef>
                              <a:fillRef idx="3">
                                <a:schemeClr val="accent2"/>
                              </a:fillRef>
                              <a:effectRef idx="3">
                                <a:schemeClr val="accent2"/>
                              </a:effectRef>
                              <a:fontRef idx="minor">
                                <a:schemeClr val="lt1"/>
                              </a:fontRef>
                            </wps:style>
                            <wps:txbx>
                              <w:txbxContent>
                                <w:p w:rsidR="00C759EA" w:rsidRDefault="00C759EA" w:rsidP="006865E7"/>
                              </w:txbxContent>
                            </wps:txbx>
                            <wps:bodyPr wrap="square" rtlCol="0" anchor="ctr"/>
                          </wps:wsp>
                        </a:graphicData>
                      </a:graphic>
                      <wp14:sizeRelH relativeFrom="page">
                        <wp14:pctWidth>0</wp14:pctWidth>
                      </wp14:sizeRelH>
                      <wp14:sizeRelV relativeFrom="page">
                        <wp14:pctHeight>0</wp14:pctHeight>
                      </wp14:sizeRelV>
                    </wp:anchor>
                  </w:drawing>
                </mc:Choice>
                <mc:Fallback>
                  <w:pict>
                    <v:oval id="Elipse 1" o:spid="_x0000_s1028" style="position:absolute;left:0;text-align:left;margin-left:203.25pt;margin-top:6.75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" fillcolor="#00863d" stroked="f">
                      <v:shadow on="t" color="black" opacity="22937f" origin=",.5" offset="0,.63889mm"/>
                      <v:textbox>
                        <w:txbxContent>
                          <w:p w:rsidR="00C759EA" w:rsidRDefault="00C759EA" w:rsidP="006865E7"/>
                        </w:txbxContent>
                      </v:textbox>
                    </v:oval>
                  </w:pict>
                </mc:Fallback>
              </mc:AlternateContent>
            </w:r>
            <w:r w:rsidRPr="006865E7">
              <w:rPr>
                <w:rFonts w:ascii="Arial" w:eastAsia="Times New Roman" w:hAnsi="Arial" w:cs="Arial"/>
                <w:color w:val="000000"/>
                <w:sz w:val="18"/>
                <w:szCs w:val="18"/>
                <w:lang w:eastAsia="es-CO"/>
              </w:rPr>
              <w:t xml:space="preserve">Bienes y manifestaciones del patrimonio cultural reconocidos y protegidos </w:t>
            </w:r>
          </w:p>
        </w:tc>
        <w:tc>
          <w:tcPr>
            <w:tcW w:w="383"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36</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3</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9</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2</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3</w:t>
            </w:r>
          </w:p>
        </w:tc>
        <w:tc>
          <w:tcPr>
            <w:tcW w:w="627"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48</w:t>
            </w:r>
          </w:p>
        </w:tc>
        <w:tc>
          <w:tcPr>
            <w:tcW w:w="939" w:type="pct"/>
            <w:shd w:val="clear" w:color="auto" w:fill="auto"/>
            <w:vAlign w:val="center"/>
            <w:hideMark/>
          </w:tcPr>
          <w:p w:rsidR="00C759EA" w:rsidRPr="006865E7" w:rsidRDefault="001F7C49"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110</w:t>
            </w:r>
            <w:r w:rsidR="00C759EA" w:rsidRPr="006865E7">
              <w:rPr>
                <w:rFonts w:ascii="Arial" w:eastAsia="Times New Roman" w:hAnsi="Arial" w:cs="Arial"/>
                <w:color w:val="000000"/>
                <w:sz w:val="18"/>
                <w:szCs w:val="18"/>
                <w:lang w:eastAsia="es-CO"/>
              </w:rPr>
              <w:t>,42%</w:t>
            </w:r>
          </w:p>
        </w:tc>
      </w:tr>
      <w:tr w:rsidR="00C759EA" w:rsidRPr="006865E7" w:rsidTr="00C759EA">
        <w:trPr>
          <w:trHeight w:val="840"/>
          <w:jc w:val="center"/>
        </w:trPr>
        <w:tc>
          <w:tcPr>
            <w:tcW w:w="1396" w:type="pct"/>
            <w:shd w:val="clear" w:color="auto" w:fill="auto"/>
            <w:vAlign w:val="center"/>
            <w:hideMark/>
          </w:tcPr>
          <w:p w:rsidR="00C759EA" w:rsidRPr="006865E7" w:rsidRDefault="00C759EA" w:rsidP="00D67D6D">
            <w:pPr>
              <w:spacing w:after="0" w:line="240" w:lineRule="auto"/>
              <w:jc w:val="both"/>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Planes Especiales de Manejo y Protección - PEMP y Planes Especiales de Salvaguardia -PES formulados</w:t>
            </w:r>
          </w:p>
        </w:tc>
        <w:tc>
          <w:tcPr>
            <w:tcW w:w="383"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33</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2</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8</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1</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4</w:t>
            </w:r>
          </w:p>
        </w:tc>
        <w:tc>
          <w:tcPr>
            <w:tcW w:w="627"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43</w:t>
            </w:r>
          </w:p>
        </w:tc>
        <w:tc>
          <w:tcPr>
            <w:tcW w:w="939" w:type="pct"/>
            <w:shd w:val="clear" w:color="auto" w:fill="auto"/>
            <w:vAlign w:val="center"/>
            <w:hideMark/>
          </w:tcPr>
          <w:p w:rsidR="00C759EA" w:rsidRPr="006865E7" w:rsidRDefault="001F7C49" w:rsidP="001F7C49">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111,63</w:t>
            </w:r>
            <w:r w:rsidR="00C759EA" w:rsidRPr="006865E7">
              <w:rPr>
                <w:rFonts w:ascii="Arial" w:eastAsia="Times New Roman" w:hAnsi="Arial" w:cs="Arial"/>
                <w:color w:val="000000"/>
                <w:sz w:val="18"/>
                <w:szCs w:val="18"/>
                <w:lang w:eastAsia="es-CO"/>
              </w:rPr>
              <w:t>%</w:t>
            </w:r>
          </w:p>
        </w:tc>
      </w:tr>
      <w:tr w:rsidR="00C759EA" w:rsidRPr="006865E7" w:rsidTr="00C759EA">
        <w:trPr>
          <w:trHeight w:val="570"/>
          <w:jc w:val="center"/>
        </w:trPr>
        <w:tc>
          <w:tcPr>
            <w:tcW w:w="1396" w:type="pct"/>
            <w:shd w:val="clear" w:color="auto" w:fill="auto"/>
            <w:vAlign w:val="center"/>
            <w:hideMark/>
          </w:tcPr>
          <w:p w:rsidR="00C759EA" w:rsidRPr="006865E7" w:rsidRDefault="00C759EA" w:rsidP="00D67D6D">
            <w:pPr>
              <w:spacing w:after="0" w:line="240" w:lineRule="auto"/>
              <w:jc w:val="both"/>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Bienes de interés cultural intervenidos</w:t>
            </w:r>
            <w:r w:rsidR="001C15B5">
              <w:rPr>
                <w:rFonts w:ascii="Arial" w:eastAsia="Times New Roman" w:hAnsi="Arial" w:cs="Arial"/>
                <w:color w:val="000000"/>
                <w:sz w:val="18"/>
                <w:szCs w:val="18"/>
                <w:lang w:eastAsia="es-CO"/>
              </w:rPr>
              <w:t>*</w:t>
            </w:r>
          </w:p>
        </w:tc>
        <w:tc>
          <w:tcPr>
            <w:tcW w:w="383"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42</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2</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6</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2</w:t>
            </w:r>
          </w:p>
        </w:tc>
        <w:tc>
          <w:tcPr>
            <w:tcW w:w="414"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3</w:t>
            </w:r>
          </w:p>
        </w:tc>
        <w:tc>
          <w:tcPr>
            <w:tcW w:w="627"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12</w:t>
            </w:r>
          </w:p>
        </w:tc>
        <w:tc>
          <w:tcPr>
            <w:tcW w:w="939" w:type="pct"/>
            <w:shd w:val="clear" w:color="auto" w:fill="auto"/>
            <w:vAlign w:val="center"/>
            <w:hideMark/>
          </w:tcPr>
          <w:p w:rsidR="00C759EA" w:rsidRPr="006865E7" w:rsidRDefault="00C759EA" w:rsidP="00D67D6D">
            <w:pPr>
              <w:spacing w:after="0" w:line="240" w:lineRule="auto"/>
              <w:jc w:val="center"/>
              <w:rPr>
                <w:rFonts w:ascii="Arial" w:eastAsia="Times New Roman" w:hAnsi="Arial" w:cs="Arial"/>
                <w:color w:val="000000"/>
                <w:sz w:val="18"/>
                <w:szCs w:val="18"/>
                <w:lang w:eastAsia="es-CO"/>
              </w:rPr>
            </w:pPr>
            <w:r w:rsidRPr="006865E7">
              <w:rPr>
                <w:rFonts w:ascii="Arial" w:eastAsia="Times New Roman" w:hAnsi="Arial" w:cs="Arial"/>
                <w:color w:val="000000"/>
                <w:sz w:val="18"/>
                <w:szCs w:val="18"/>
                <w:lang w:eastAsia="es-CO"/>
              </w:rPr>
              <w:t>108,33%</w:t>
            </w:r>
          </w:p>
        </w:tc>
      </w:tr>
    </w:tbl>
    <w:p w:rsidR="006865E7" w:rsidRPr="001C15B5" w:rsidRDefault="001C15B5" w:rsidP="006865E7">
      <w:pPr>
        <w:jc w:val="both"/>
        <w:rPr>
          <w:rFonts w:ascii="Arial" w:hAnsi="Arial" w:cs="Arial"/>
          <w:sz w:val="16"/>
          <w:szCs w:val="16"/>
        </w:rPr>
      </w:pPr>
      <w:r>
        <w:rPr>
          <w:rFonts w:ascii="Arial" w:hAnsi="Arial" w:cs="Arial"/>
          <w:sz w:val="16"/>
          <w:szCs w:val="16"/>
        </w:rPr>
        <w:t xml:space="preserve">        </w:t>
      </w:r>
      <w:r w:rsidRPr="001C15B5">
        <w:rPr>
          <w:rFonts w:ascii="Arial" w:hAnsi="Arial" w:cs="Arial"/>
          <w:sz w:val="16"/>
          <w:szCs w:val="16"/>
        </w:rPr>
        <w:t>Nota * Pendiente cargue de información en el mes de febrero</w:t>
      </w:r>
    </w:p>
    <w:p w:rsidR="006865E7" w:rsidRPr="006865E7" w:rsidRDefault="006865E7" w:rsidP="005E38FC">
      <w:pPr>
        <w:spacing w:line="240" w:lineRule="auto"/>
        <w:jc w:val="both"/>
        <w:rPr>
          <w:rFonts w:ascii="Arial" w:hAnsi="Arial" w:cs="Arial"/>
          <w:sz w:val="24"/>
          <w:szCs w:val="24"/>
        </w:rPr>
      </w:pPr>
      <w:r w:rsidRPr="006865E7">
        <w:rPr>
          <w:rFonts w:ascii="Arial" w:hAnsi="Arial" w:cs="Arial"/>
          <w:sz w:val="24"/>
          <w:szCs w:val="24"/>
        </w:rPr>
        <w:lastRenderedPageBreak/>
        <w:t xml:space="preserve">En los 4 años de gobierno, el Ministerio de Cultura desarrolló acciones y estrategias encaminadas proteger, conservar y salvaguardar  el patrimonio cultural material e inmaterial, obteniéndose los siguientes logros: </w:t>
      </w:r>
    </w:p>
    <w:p w:rsidR="006865E7" w:rsidRPr="005E38FC" w:rsidRDefault="006865E7" w:rsidP="005E38FC">
      <w:pPr>
        <w:pStyle w:val="Prrafodelista"/>
        <w:numPr>
          <w:ilvl w:val="0"/>
          <w:numId w:val="11"/>
        </w:numPr>
        <w:autoSpaceDE w:val="0"/>
        <w:autoSpaceDN w:val="0"/>
        <w:adjustRightInd w:val="0"/>
        <w:spacing w:after="0" w:line="240" w:lineRule="auto"/>
        <w:jc w:val="both"/>
        <w:rPr>
          <w:rFonts w:ascii="Arial" w:hAnsi="Arial" w:cs="Arial"/>
          <w:sz w:val="24"/>
          <w:szCs w:val="24"/>
        </w:rPr>
      </w:pPr>
      <w:r w:rsidRPr="005E38FC">
        <w:rPr>
          <w:rFonts w:ascii="Arial" w:hAnsi="Arial" w:cs="Arial"/>
          <w:sz w:val="24"/>
          <w:szCs w:val="24"/>
        </w:rPr>
        <w:t>Fueron reconocidos y protegidos 53  bienes y manifestaciones del patrimonio cultural (incluye línea base).</w:t>
      </w:r>
    </w:p>
    <w:p w:rsidR="006865E7" w:rsidRPr="006865E7" w:rsidRDefault="006865E7" w:rsidP="005E38FC">
      <w:pPr>
        <w:pStyle w:val="Prrafodelista"/>
        <w:numPr>
          <w:ilvl w:val="0"/>
          <w:numId w:val="11"/>
        </w:numPr>
        <w:autoSpaceDE w:val="0"/>
        <w:autoSpaceDN w:val="0"/>
        <w:adjustRightInd w:val="0"/>
        <w:spacing w:after="0" w:line="240" w:lineRule="auto"/>
        <w:jc w:val="both"/>
        <w:rPr>
          <w:rFonts w:ascii="Arial" w:hAnsi="Arial" w:cs="Arial"/>
          <w:sz w:val="24"/>
          <w:szCs w:val="24"/>
        </w:rPr>
      </w:pPr>
      <w:r w:rsidRPr="006865E7">
        <w:rPr>
          <w:rFonts w:ascii="Arial" w:hAnsi="Arial" w:cs="Arial"/>
          <w:sz w:val="24"/>
          <w:szCs w:val="24"/>
        </w:rPr>
        <w:t>Se formularon 48 Planes Especiales de Manejo y Protección - PEMP y Planes Especiales de Salvaguardia -PES  (incluye línea base).</w:t>
      </w:r>
    </w:p>
    <w:p w:rsidR="006865E7" w:rsidRPr="006865E7" w:rsidRDefault="006865E7" w:rsidP="005E38FC">
      <w:pPr>
        <w:pStyle w:val="Prrafodelista"/>
        <w:numPr>
          <w:ilvl w:val="0"/>
          <w:numId w:val="11"/>
        </w:numPr>
        <w:autoSpaceDE w:val="0"/>
        <w:autoSpaceDN w:val="0"/>
        <w:adjustRightInd w:val="0"/>
        <w:spacing w:after="0" w:line="240" w:lineRule="auto"/>
        <w:jc w:val="both"/>
        <w:rPr>
          <w:rFonts w:ascii="Arial" w:hAnsi="Arial" w:cs="Arial"/>
          <w:sz w:val="24"/>
          <w:szCs w:val="24"/>
        </w:rPr>
      </w:pPr>
      <w:r w:rsidRPr="006865E7">
        <w:rPr>
          <w:rFonts w:ascii="Arial" w:hAnsi="Arial" w:cs="Arial"/>
          <w:sz w:val="24"/>
          <w:szCs w:val="24"/>
        </w:rPr>
        <w:t>Se intervinieron 55 Bienes de interés cultural (incluye línea base).</w:t>
      </w:r>
    </w:p>
    <w:p w:rsidR="006865E7" w:rsidRPr="006865E7" w:rsidRDefault="006865E7" w:rsidP="005E38FC">
      <w:pPr>
        <w:autoSpaceDE w:val="0"/>
        <w:autoSpaceDN w:val="0"/>
        <w:adjustRightInd w:val="0"/>
        <w:spacing w:after="0" w:line="240" w:lineRule="auto"/>
        <w:ind w:firstLine="60"/>
        <w:jc w:val="both"/>
        <w:rPr>
          <w:rFonts w:ascii="Arial" w:hAnsi="Arial" w:cs="Arial"/>
          <w:sz w:val="24"/>
          <w:szCs w:val="24"/>
        </w:rPr>
      </w:pPr>
    </w:p>
    <w:p w:rsidR="006865E7" w:rsidRPr="006865E7" w:rsidRDefault="006865E7" w:rsidP="005E38FC">
      <w:pPr>
        <w:spacing w:line="240" w:lineRule="auto"/>
        <w:jc w:val="both"/>
        <w:rPr>
          <w:rFonts w:ascii="Arial" w:hAnsi="Arial" w:cs="Arial"/>
          <w:sz w:val="24"/>
          <w:szCs w:val="24"/>
        </w:rPr>
      </w:pPr>
      <w:r w:rsidRPr="006865E7">
        <w:rPr>
          <w:rFonts w:ascii="Arial" w:hAnsi="Arial" w:cs="Arial"/>
          <w:sz w:val="24"/>
          <w:szCs w:val="24"/>
        </w:rPr>
        <w:t xml:space="preserve">Es importante destacar que el “porcentaje de cumplimiento cuatrienio” de los indicadores “Bienes y manifestaciones del patrimonio cultural reconocidos y protegidos” y “Planes Especiales de Manejo y Protección - PEMP y Planes Especiales de Salvaguardia -PES formulados” en el aplicativo SINERGIA está por debajo del avance real. Esta situación obedece a que la información registrada en el aplicativo “SINERGIA”, no contempla el valor de línea base. En este sentido el avance </w:t>
      </w:r>
      <w:r w:rsidR="001F7C49">
        <w:rPr>
          <w:rFonts w:ascii="Arial" w:hAnsi="Arial" w:cs="Arial"/>
          <w:sz w:val="24"/>
          <w:szCs w:val="24"/>
        </w:rPr>
        <w:t xml:space="preserve">reportado por SINERGIA </w:t>
      </w:r>
      <w:r w:rsidRPr="006865E7">
        <w:rPr>
          <w:rFonts w:ascii="Arial" w:hAnsi="Arial" w:cs="Arial"/>
          <w:sz w:val="24"/>
          <w:szCs w:val="24"/>
        </w:rPr>
        <w:t xml:space="preserve">es del </w:t>
      </w:r>
      <w:r w:rsidR="001F7C49">
        <w:rPr>
          <w:rFonts w:ascii="Arial" w:hAnsi="Arial" w:cs="Arial"/>
          <w:sz w:val="24"/>
          <w:szCs w:val="24"/>
        </w:rPr>
        <w:t>35</w:t>
      </w:r>
      <w:r w:rsidRPr="006865E7">
        <w:rPr>
          <w:rFonts w:ascii="Arial" w:hAnsi="Arial" w:cs="Arial"/>
          <w:sz w:val="24"/>
          <w:szCs w:val="24"/>
        </w:rPr>
        <w:t xml:space="preserve">,42% para el indicador Bienes y manifestaciones del patrimonio cultural reconocidos y protegidos y </w:t>
      </w:r>
      <w:r w:rsidR="001F7C49">
        <w:rPr>
          <w:rFonts w:ascii="Arial" w:hAnsi="Arial" w:cs="Arial"/>
          <w:sz w:val="24"/>
          <w:szCs w:val="24"/>
        </w:rPr>
        <w:t>34,88</w:t>
      </w:r>
      <w:r w:rsidRPr="006865E7">
        <w:rPr>
          <w:rFonts w:ascii="Arial" w:hAnsi="Arial" w:cs="Arial"/>
          <w:sz w:val="24"/>
          <w:szCs w:val="24"/>
        </w:rPr>
        <w:t>% para el indicador Planes Especiales de Manejo y Protección - PEMP y Planes Especiales de Salvaguardia -PES formulados.</w:t>
      </w:r>
    </w:p>
    <w:p w:rsidR="006865E7" w:rsidRDefault="006865E7" w:rsidP="005E38FC">
      <w:pPr>
        <w:spacing w:line="240" w:lineRule="auto"/>
        <w:jc w:val="both"/>
        <w:rPr>
          <w:rFonts w:ascii="Arial" w:hAnsi="Arial" w:cs="Arial"/>
          <w:sz w:val="24"/>
          <w:szCs w:val="24"/>
        </w:rPr>
      </w:pPr>
      <w:r w:rsidRPr="006865E7">
        <w:rPr>
          <w:rFonts w:ascii="Arial" w:hAnsi="Arial" w:cs="Arial"/>
          <w:sz w:val="24"/>
          <w:szCs w:val="24"/>
        </w:rPr>
        <w:t xml:space="preserve">Así mismo, se aclara que el “porcentaje de cumplimiento cuatrienio”  del indicador Bienes de interés cultural intervenidos corresponde al mes de noviembre. En el mes de diciembre se entregaron 2 intervenciones más, logrando un avance de 5 BICNALES intervenidas en la vigencia 2018. En este sentido el cumplimiento del indicador para el cuatrienio es de 125%. </w:t>
      </w:r>
    </w:p>
    <w:p w:rsidR="006029CA" w:rsidRPr="006029CA" w:rsidRDefault="006029CA" w:rsidP="006029CA">
      <w:pPr>
        <w:jc w:val="both"/>
        <w:rPr>
          <w:rFonts w:ascii="Arial" w:eastAsiaTheme="majorEastAsia" w:hAnsi="Arial" w:cs="Arial"/>
          <w:b/>
          <w:bCs/>
          <w:color w:val="244061" w:themeColor="accent1" w:themeShade="80"/>
          <w:sz w:val="24"/>
          <w:szCs w:val="24"/>
        </w:rPr>
      </w:pPr>
      <w:r w:rsidRPr="006029CA">
        <w:rPr>
          <w:rFonts w:ascii="Arial" w:eastAsiaTheme="majorEastAsia" w:hAnsi="Arial" w:cs="Arial"/>
          <w:b/>
          <w:bCs/>
          <w:color w:val="244061" w:themeColor="accent1" w:themeShade="80"/>
          <w:sz w:val="24"/>
          <w:szCs w:val="24"/>
        </w:rPr>
        <w:t>INDICADORES CORRESPONDIENTES A ENTIDADES ADSCRITAS AL MINISTERIO DE CULTURA</w:t>
      </w:r>
    </w:p>
    <w:tbl>
      <w:tblPr>
        <w:tblW w:w="9678"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020"/>
        <w:gridCol w:w="991"/>
        <w:gridCol w:w="1080"/>
        <w:gridCol w:w="1134"/>
        <w:gridCol w:w="1134"/>
        <w:gridCol w:w="1134"/>
        <w:gridCol w:w="1341"/>
      </w:tblGrid>
      <w:tr w:rsidR="00C759EA" w:rsidRPr="006029CA" w:rsidTr="00C759EA">
        <w:trPr>
          <w:trHeight w:val="479"/>
          <w:jc w:val="center"/>
        </w:trPr>
        <w:tc>
          <w:tcPr>
            <w:tcW w:w="1844" w:type="dxa"/>
            <w:shd w:val="clear" w:color="auto" w:fill="auto"/>
            <w:vAlign w:val="center"/>
            <w:hideMark/>
          </w:tcPr>
          <w:p w:rsidR="00C759EA" w:rsidRPr="006029CA" w:rsidRDefault="00C759EA" w:rsidP="00D67D6D">
            <w:pPr>
              <w:spacing w:after="0" w:line="240" w:lineRule="auto"/>
              <w:rPr>
                <w:rFonts w:ascii="Arial" w:eastAsia="Times New Roman" w:hAnsi="Arial" w:cs="Arial"/>
                <w:b/>
                <w:bCs/>
                <w:color w:val="083669"/>
                <w:sz w:val="18"/>
                <w:szCs w:val="18"/>
                <w:lang w:eastAsia="es-CO"/>
              </w:rPr>
            </w:pPr>
            <w:r w:rsidRPr="006029CA">
              <w:rPr>
                <w:rFonts w:ascii="Arial" w:eastAsia="Times New Roman" w:hAnsi="Arial" w:cs="Arial"/>
                <w:b/>
                <w:bCs/>
                <w:color w:val="083669"/>
                <w:sz w:val="18"/>
                <w:szCs w:val="18"/>
                <w:lang w:eastAsia="es-CO"/>
              </w:rPr>
              <w:t xml:space="preserve">Valoración del patrimonio cultural </w:t>
            </w:r>
          </w:p>
        </w:tc>
        <w:tc>
          <w:tcPr>
            <w:tcW w:w="102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Línea Base 2014</w:t>
            </w:r>
          </w:p>
        </w:tc>
        <w:tc>
          <w:tcPr>
            <w:tcW w:w="99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Cierre 2015</w:t>
            </w:r>
          </w:p>
        </w:tc>
        <w:tc>
          <w:tcPr>
            <w:tcW w:w="108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Cierre 2016</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Cierre 2017</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Cierre 2018</w:t>
            </w:r>
            <w:r w:rsidRPr="006029CA">
              <w:rPr>
                <w:rFonts w:ascii="Arial" w:eastAsia="Times New Roman" w:hAnsi="Arial" w:cs="Arial"/>
                <w:b/>
                <w:bCs/>
                <w:color w:val="1F497D"/>
                <w:sz w:val="18"/>
                <w:szCs w:val="18"/>
                <w:lang w:eastAsia="es-CO"/>
              </w:rPr>
              <w:br/>
              <w:t>(parcial)</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Meta cuatrienio</w:t>
            </w:r>
          </w:p>
        </w:tc>
        <w:tc>
          <w:tcPr>
            <w:tcW w:w="134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b/>
                <w:bCs/>
                <w:color w:val="1F497D"/>
                <w:sz w:val="18"/>
                <w:szCs w:val="18"/>
                <w:lang w:eastAsia="es-CO"/>
              </w:rPr>
            </w:pPr>
            <w:r w:rsidRPr="006029CA">
              <w:rPr>
                <w:rFonts w:ascii="Arial" w:eastAsia="Times New Roman" w:hAnsi="Arial" w:cs="Arial"/>
                <w:b/>
                <w:bCs/>
                <w:color w:val="1F497D"/>
                <w:sz w:val="18"/>
                <w:szCs w:val="18"/>
                <w:lang w:eastAsia="es-CO"/>
              </w:rPr>
              <w:t>Porcentaje de cumplimiento cuatrienio</w:t>
            </w:r>
          </w:p>
        </w:tc>
      </w:tr>
      <w:tr w:rsidR="00C759EA" w:rsidRPr="006029CA" w:rsidTr="00C759EA">
        <w:trPr>
          <w:trHeight w:val="740"/>
          <w:jc w:val="center"/>
        </w:trPr>
        <w:tc>
          <w:tcPr>
            <w:tcW w:w="1844" w:type="dxa"/>
            <w:shd w:val="clear" w:color="auto" w:fill="auto"/>
            <w:vAlign w:val="center"/>
            <w:hideMark/>
          </w:tcPr>
          <w:p w:rsidR="00C759EA" w:rsidRPr="006029CA" w:rsidRDefault="00C759EA" w:rsidP="00D67D6D">
            <w:pPr>
              <w:spacing w:after="0" w:line="240" w:lineRule="auto"/>
              <w:jc w:val="both"/>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Profesores formados en el diplomado de Pedagogía y Didáctica para la Enseñanza del Español como Lengua Extranjera (ELE), de manera presencial y virtual</w:t>
            </w:r>
          </w:p>
        </w:tc>
        <w:tc>
          <w:tcPr>
            <w:tcW w:w="102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96</w:t>
            </w:r>
          </w:p>
        </w:tc>
        <w:tc>
          <w:tcPr>
            <w:tcW w:w="99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174</w:t>
            </w:r>
          </w:p>
        </w:tc>
        <w:tc>
          <w:tcPr>
            <w:tcW w:w="108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202</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211</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260</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800</w:t>
            </w:r>
          </w:p>
        </w:tc>
        <w:tc>
          <w:tcPr>
            <w:tcW w:w="1341" w:type="dxa"/>
            <w:shd w:val="clear" w:color="auto" w:fill="auto"/>
            <w:vAlign w:val="center"/>
            <w:hideMark/>
          </w:tcPr>
          <w:p w:rsidR="00C759EA" w:rsidRPr="006029CA" w:rsidRDefault="00C759EA" w:rsidP="003907D0">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10</w:t>
            </w:r>
            <w:r>
              <w:rPr>
                <w:rFonts w:ascii="Arial" w:eastAsia="Times New Roman" w:hAnsi="Arial" w:cs="Arial"/>
                <w:color w:val="000000"/>
                <w:sz w:val="18"/>
                <w:szCs w:val="18"/>
                <w:lang w:eastAsia="es-CO"/>
              </w:rPr>
              <w:t>5,88</w:t>
            </w:r>
            <w:r w:rsidRPr="006029CA">
              <w:rPr>
                <w:rFonts w:ascii="Arial" w:eastAsia="Times New Roman" w:hAnsi="Arial" w:cs="Arial"/>
                <w:color w:val="000000"/>
                <w:sz w:val="18"/>
                <w:szCs w:val="18"/>
                <w:lang w:eastAsia="es-CO"/>
              </w:rPr>
              <w:t>%</w:t>
            </w:r>
          </w:p>
        </w:tc>
      </w:tr>
      <w:tr w:rsidR="00C759EA" w:rsidRPr="006029CA" w:rsidTr="00C759EA">
        <w:trPr>
          <w:trHeight w:val="555"/>
          <w:jc w:val="center"/>
        </w:trPr>
        <w:tc>
          <w:tcPr>
            <w:tcW w:w="1844" w:type="dxa"/>
            <w:shd w:val="clear" w:color="auto" w:fill="auto"/>
            <w:vAlign w:val="center"/>
            <w:hideMark/>
          </w:tcPr>
          <w:p w:rsidR="00C759EA" w:rsidRPr="006029CA" w:rsidRDefault="00C759EA" w:rsidP="00D67D6D">
            <w:pPr>
              <w:spacing w:after="0" w:line="240" w:lineRule="auto"/>
              <w:jc w:val="both"/>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Imágenes digitalizadas de los fondos documentales del AGN para consulta a través de Internet</w:t>
            </w:r>
          </w:p>
        </w:tc>
        <w:tc>
          <w:tcPr>
            <w:tcW w:w="102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5</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847</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840</w:t>
            </w:r>
          </w:p>
        </w:tc>
        <w:tc>
          <w:tcPr>
            <w:tcW w:w="99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733</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891</w:t>
            </w:r>
          </w:p>
        </w:tc>
        <w:tc>
          <w:tcPr>
            <w:tcW w:w="108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2.808.744</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11.395.418</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5.332.696</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20.000.000</w:t>
            </w:r>
          </w:p>
        </w:tc>
        <w:tc>
          <w:tcPr>
            <w:tcW w:w="134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106,35%</w:t>
            </w:r>
          </w:p>
        </w:tc>
      </w:tr>
      <w:tr w:rsidR="00C759EA" w:rsidRPr="006029CA" w:rsidTr="00C759EA">
        <w:trPr>
          <w:trHeight w:val="370"/>
          <w:jc w:val="center"/>
        </w:trPr>
        <w:tc>
          <w:tcPr>
            <w:tcW w:w="1844" w:type="dxa"/>
            <w:shd w:val="clear" w:color="auto" w:fill="auto"/>
            <w:vAlign w:val="center"/>
            <w:hideMark/>
          </w:tcPr>
          <w:p w:rsidR="00C759EA" w:rsidRPr="006029CA" w:rsidRDefault="00C759EA" w:rsidP="00D67D6D">
            <w:pPr>
              <w:spacing w:after="0" w:line="240" w:lineRule="auto"/>
              <w:jc w:val="both"/>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 xml:space="preserve">Imágenes digitalizadas de los </w:t>
            </w:r>
            <w:r w:rsidRPr="006029CA">
              <w:rPr>
                <w:rFonts w:ascii="Arial" w:eastAsia="Times New Roman" w:hAnsi="Arial" w:cs="Arial"/>
                <w:color w:val="000000"/>
                <w:sz w:val="18"/>
                <w:szCs w:val="18"/>
                <w:lang w:eastAsia="es-CO"/>
              </w:rPr>
              <w:lastRenderedPageBreak/>
              <w:t>fondos documentales</w:t>
            </w:r>
          </w:p>
        </w:tc>
        <w:tc>
          <w:tcPr>
            <w:tcW w:w="102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lastRenderedPageBreak/>
              <w:t>0</w:t>
            </w:r>
          </w:p>
        </w:tc>
        <w:tc>
          <w:tcPr>
            <w:tcW w:w="99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4</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947</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867</w:t>
            </w:r>
          </w:p>
        </w:tc>
        <w:tc>
          <w:tcPr>
            <w:tcW w:w="1080"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11</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243</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727</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11</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306</w:t>
            </w:r>
            <w:r>
              <w:rPr>
                <w:rFonts w:ascii="Arial" w:eastAsia="Times New Roman" w:hAnsi="Arial" w:cs="Arial"/>
                <w:color w:val="000000"/>
                <w:sz w:val="18"/>
                <w:szCs w:val="18"/>
                <w:lang w:eastAsia="es-CO"/>
              </w:rPr>
              <w:t>.</w:t>
            </w:r>
            <w:r w:rsidRPr="006029CA">
              <w:rPr>
                <w:rFonts w:ascii="Arial" w:eastAsia="Times New Roman" w:hAnsi="Arial" w:cs="Arial"/>
                <w:color w:val="000000"/>
                <w:sz w:val="18"/>
                <w:szCs w:val="18"/>
                <w:lang w:eastAsia="es-CO"/>
              </w:rPr>
              <w:t>667</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3.183.996</w:t>
            </w:r>
          </w:p>
        </w:tc>
        <w:tc>
          <w:tcPr>
            <w:tcW w:w="1134"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20.000.000</w:t>
            </w:r>
          </w:p>
        </w:tc>
        <w:tc>
          <w:tcPr>
            <w:tcW w:w="1341" w:type="dxa"/>
            <w:shd w:val="clear" w:color="auto" w:fill="auto"/>
            <w:vAlign w:val="center"/>
            <w:hideMark/>
          </w:tcPr>
          <w:p w:rsidR="00C759EA" w:rsidRPr="006029CA" w:rsidRDefault="00C759EA" w:rsidP="00D67D6D">
            <w:pPr>
              <w:spacing w:after="0" w:line="240" w:lineRule="auto"/>
              <w:jc w:val="center"/>
              <w:rPr>
                <w:rFonts w:ascii="Arial" w:eastAsia="Times New Roman" w:hAnsi="Arial" w:cs="Arial"/>
                <w:color w:val="000000"/>
                <w:sz w:val="18"/>
                <w:szCs w:val="18"/>
                <w:lang w:eastAsia="es-CO"/>
              </w:rPr>
            </w:pPr>
            <w:r w:rsidRPr="006029CA">
              <w:rPr>
                <w:rFonts w:ascii="Arial" w:eastAsia="Times New Roman" w:hAnsi="Arial" w:cs="Arial"/>
                <w:color w:val="000000"/>
                <w:sz w:val="18"/>
                <w:szCs w:val="18"/>
                <w:lang w:eastAsia="es-CO"/>
              </w:rPr>
              <w:t>153</w:t>
            </w:r>
            <w:r>
              <w:rPr>
                <w:rFonts w:ascii="Arial" w:eastAsia="Times New Roman" w:hAnsi="Arial" w:cs="Arial"/>
                <w:color w:val="000000"/>
                <w:sz w:val="18"/>
                <w:szCs w:val="18"/>
                <w:lang w:eastAsia="es-CO"/>
              </w:rPr>
              <w:t>,41</w:t>
            </w:r>
            <w:r w:rsidRPr="006029CA">
              <w:rPr>
                <w:rFonts w:ascii="Arial" w:eastAsia="Times New Roman" w:hAnsi="Arial" w:cs="Arial"/>
                <w:color w:val="000000"/>
                <w:sz w:val="18"/>
                <w:szCs w:val="18"/>
                <w:lang w:eastAsia="es-CO"/>
              </w:rPr>
              <w:t>%</w:t>
            </w:r>
          </w:p>
        </w:tc>
      </w:tr>
    </w:tbl>
    <w:p w:rsidR="006029CA" w:rsidRDefault="006029CA" w:rsidP="006029CA">
      <w:pPr>
        <w:jc w:val="both"/>
        <w:rPr>
          <w:rFonts w:asciiTheme="majorHAnsi" w:hAnsiTheme="majorHAnsi" w:cs="Arial"/>
          <w:b/>
          <w:sz w:val="26"/>
          <w:szCs w:val="26"/>
        </w:rPr>
      </w:pPr>
    </w:p>
    <w:p w:rsidR="006029CA" w:rsidRDefault="006029CA" w:rsidP="00C759EA">
      <w:pPr>
        <w:spacing w:line="240" w:lineRule="auto"/>
        <w:jc w:val="both"/>
        <w:rPr>
          <w:rFonts w:ascii="Arial" w:hAnsi="Arial" w:cs="Arial"/>
          <w:sz w:val="24"/>
          <w:szCs w:val="24"/>
        </w:rPr>
      </w:pPr>
      <w:r>
        <w:rPr>
          <w:rFonts w:ascii="Arial" w:hAnsi="Arial" w:cs="Arial"/>
          <w:sz w:val="24"/>
          <w:szCs w:val="24"/>
        </w:rPr>
        <w:t xml:space="preserve">El Ministerio de Cultura cuenta con tres Entidades adscritas, </w:t>
      </w:r>
      <w:r w:rsidR="00E7393E">
        <w:rPr>
          <w:rFonts w:ascii="Arial" w:hAnsi="Arial" w:cs="Arial"/>
          <w:sz w:val="24"/>
          <w:szCs w:val="24"/>
        </w:rPr>
        <w:t xml:space="preserve">que se encargan de </w:t>
      </w:r>
      <w:r w:rsidR="00E7393E" w:rsidRPr="006029CA">
        <w:rPr>
          <w:rFonts w:ascii="Arial" w:hAnsi="Arial" w:cs="Arial"/>
          <w:sz w:val="24"/>
          <w:szCs w:val="24"/>
        </w:rPr>
        <w:t xml:space="preserve">la protección del patrimonio arqueológico, artístico, archivístico, bibliográfico, documental, paleontológico </w:t>
      </w:r>
      <w:r w:rsidR="00E7393E">
        <w:rPr>
          <w:rFonts w:ascii="Arial" w:hAnsi="Arial" w:cs="Arial"/>
          <w:sz w:val="24"/>
          <w:szCs w:val="24"/>
        </w:rPr>
        <w:t xml:space="preserve">y utilitario de la Nación; estas son: el </w:t>
      </w:r>
      <w:r w:rsidRPr="006029CA">
        <w:rPr>
          <w:rFonts w:ascii="Arial" w:hAnsi="Arial" w:cs="Arial"/>
          <w:sz w:val="24"/>
          <w:szCs w:val="24"/>
        </w:rPr>
        <w:t>Archivo General de la Nación, el Instituto Colombiano de Antropología e Histor</w:t>
      </w:r>
      <w:r>
        <w:rPr>
          <w:rFonts w:ascii="Arial" w:hAnsi="Arial" w:cs="Arial"/>
          <w:sz w:val="24"/>
          <w:szCs w:val="24"/>
        </w:rPr>
        <w:t>ia y el Instituto Caro y Cuervo</w:t>
      </w:r>
      <w:r w:rsidR="00E7393E">
        <w:rPr>
          <w:rFonts w:ascii="Arial" w:hAnsi="Arial" w:cs="Arial"/>
          <w:sz w:val="24"/>
          <w:szCs w:val="24"/>
        </w:rPr>
        <w:t>.</w:t>
      </w:r>
    </w:p>
    <w:p w:rsidR="006029CA" w:rsidRDefault="006029CA" w:rsidP="00C759EA">
      <w:pPr>
        <w:autoSpaceDE w:val="0"/>
        <w:autoSpaceDN w:val="0"/>
        <w:adjustRightInd w:val="0"/>
        <w:spacing w:after="0" w:line="240" w:lineRule="auto"/>
        <w:jc w:val="both"/>
        <w:rPr>
          <w:rFonts w:ascii="Arial" w:hAnsi="Arial" w:cs="Arial"/>
          <w:color w:val="1A1A1A"/>
          <w:sz w:val="24"/>
          <w:szCs w:val="24"/>
        </w:rPr>
      </w:pPr>
      <w:r w:rsidRPr="00E7393E">
        <w:rPr>
          <w:rFonts w:ascii="Arial" w:hAnsi="Arial" w:cs="Arial"/>
          <w:color w:val="1A1A1A"/>
          <w:sz w:val="24"/>
          <w:szCs w:val="24"/>
        </w:rPr>
        <w:t xml:space="preserve">El Instituto Caro y Cuervo es un establecimiento público del orden nacional de investigación científica y de carácter docente </w:t>
      </w:r>
      <w:r w:rsidR="00E7393E">
        <w:rPr>
          <w:rFonts w:ascii="Arial" w:hAnsi="Arial" w:cs="Arial"/>
          <w:color w:val="1A1A1A"/>
          <w:sz w:val="24"/>
          <w:szCs w:val="24"/>
        </w:rPr>
        <w:t>enfocado en</w:t>
      </w:r>
      <w:r w:rsidRPr="00E7393E">
        <w:rPr>
          <w:rFonts w:ascii="Arial" w:hAnsi="Arial" w:cs="Arial"/>
          <w:color w:val="1A1A1A"/>
          <w:sz w:val="24"/>
          <w:szCs w:val="24"/>
        </w:rPr>
        <w:t xml:space="preserve"> cultivar la investigación científica en los campos de la lingüística, la filología, la literatura, las humanidades y la historia de la cultura colombiana, y fomentar estos estudios mediante la difusión de los mismos y la enseñanza superior para la formación de profesores y especialistas en las mencionadas disciplinas</w:t>
      </w:r>
      <w:r w:rsidR="00E7393E" w:rsidRPr="00E7393E">
        <w:rPr>
          <w:rFonts w:ascii="Arial" w:hAnsi="Arial" w:cs="Arial"/>
          <w:color w:val="1A1A1A"/>
          <w:sz w:val="24"/>
          <w:szCs w:val="24"/>
        </w:rPr>
        <w:t>.</w:t>
      </w:r>
    </w:p>
    <w:p w:rsidR="00E7393E" w:rsidRPr="006029CA" w:rsidRDefault="00E7393E" w:rsidP="00C759EA">
      <w:pPr>
        <w:spacing w:line="240" w:lineRule="auto"/>
        <w:jc w:val="both"/>
        <w:rPr>
          <w:rFonts w:ascii="Arial" w:hAnsi="Arial" w:cs="Arial"/>
          <w:sz w:val="24"/>
          <w:szCs w:val="24"/>
        </w:rPr>
      </w:pPr>
      <w:r>
        <w:rPr>
          <w:rFonts w:ascii="Arial" w:hAnsi="Arial" w:cs="Arial"/>
          <w:sz w:val="24"/>
          <w:szCs w:val="24"/>
        </w:rPr>
        <w:t>Dando cumplimiento a su enfoque, el indicador establecido para medir la cantidad de p</w:t>
      </w:r>
      <w:r w:rsidRPr="006029CA">
        <w:rPr>
          <w:rFonts w:ascii="Arial" w:hAnsi="Arial" w:cs="Arial"/>
          <w:sz w:val="24"/>
          <w:szCs w:val="24"/>
        </w:rPr>
        <w:t xml:space="preserve">rofesores formados en el diplomado de Pedagogía y Didáctica para la Enseñanza del Español como Lengua Extranjera (ELE), </w:t>
      </w:r>
      <w:r>
        <w:rPr>
          <w:rFonts w:ascii="Arial" w:hAnsi="Arial" w:cs="Arial"/>
          <w:sz w:val="24"/>
          <w:szCs w:val="24"/>
        </w:rPr>
        <w:t xml:space="preserve">de manera presencial y virtual, superó la meta pactada en un </w:t>
      </w:r>
      <w:r w:rsidRPr="006029CA">
        <w:rPr>
          <w:rFonts w:ascii="Arial" w:hAnsi="Arial" w:cs="Arial"/>
          <w:sz w:val="24"/>
          <w:szCs w:val="24"/>
        </w:rPr>
        <w:t>106%</w:t>
      </w:r>
      <w:r>
        <w:rPr>
          <w:rFonts w:ascii="Arial" w:hAnsi="Arial" w:cs="Arial"/>
          <w:sz w:val="24"/>
          <w:szCs w:val="24"/>
        </w:rPr>
        <w:t xml:space="preserve">, formando así, a 847 profesores. </w:t>
      </w:r>
    </w:p>
    <w:p w:rsidR="00E7393E" w:rsidRPr="00E7393E" w:rsidRDefault="00E7393E" w:rsidP="00C759EA">
      <w:pPr>
        <w:autoSpaceDE w:val="0"/>
        <w:autoSpaceDN w:val="0"/>
        <w:adjustRightInd w:val="0"/>
        <w:spacing w:after="0" w:line="240" w:lineRule="auto"/>
        <w:jc w:val="both"/>
        <w:rPr>
          <w:rFonts w:ascii="Arial" w:hAnsi="Arial" w:cs="Arial"/>
          <w:sz w:val="24"/>
          <w:szCs w:val="24"/>
        </w:rPr>
      </w:pPr>
      <w:r w:rsidRPr="00E7393E">
        <w:rPr>
          <w:rFonts w:ascii="Arial" w:hAnsi="Arial" w:cs="Arial"/>
          <w:color w:val="1A1A1A"/>
          <w:sz w:val="24"/>
          <w:szCs w:val="24"/>
        </w:rPr>
        <w:t>El Archivo General de la Nación Jorge Palacios Preciado - AGN, es una entidad del orden nacional adscrita al Ministerio de Cultura, encargada de la organización y dirección del Sistema Nacional de Archivos - SNA, de regir la política archivística en nuestro País y de custodiar, resguardar y proteger el patrimonio documental que conserva.</w:t>
      </w:r>
    </w:p>
    <w:p w:rsidR="006029CA" w:rsidRPr="006029CA" w:rsidRDefault="00E7393E" w:rsidP="00C759EA">
      <w:pPr>
        <w:spacing w:line="240" w:lineRule="auto"/>
        <w:jc w:val="both"/>
        <w:rPr>
          <w:rFonts w:ascii="Arial" w:hAnsi="Arial" w:cs="Arial"/>
          <w:sz w:val="24"/>
          <w:szCs w:val="24"/>
        </w:rPr>
      </w:pPr>
      <w:r>
        <w:rPr>
          <w:rFonts w:ascii="Arial" w:hAnsi="Arial" w:cs="Arial"/>
          <w:sz w:val="24"/>
          <w:szCs w:val="24"/>
        </w:rPr>
        <w:t>Esta entidad</w:t>
      </w:r>
      <w:r w:rsidR="006029CA" w:rsidRPr="006029CA">
        <w:rPr>
          <w:rFonts w:ascii="Arial" w:hAnsi="Arial" w:cs="Arial"/>
          <w:sz w:val="24"/>
          <w:szCs w:val="24"/>
        </w:rPr>
        <w:t xml:space="preserve"> realizó el seguimiento y control del indicador</w:t>
      </w:r>
      <w:r>
        <w:rPr>
          <w:rFonts w:ascii="Arial" w:hAnsi="Arial" w:cs="Arial"/>
          <w:sz w:val="24"/>
          <w:szCs w:val="24"/>
        </w:rPr>
        <w:t xml:space="preserve"> de</w:t>
      </w:r>
      <w:r w:rsidR="006029CA" w:rsidRPr="006029CA">
        <w:rPr>
          <w:rFonts w:ascii="Arial" w:hAnsi="Arial" w:cs="Arial"/>
          <w:sz w:val="24"/>
          <w:szCs w:val="24"/>
        </w:rPr>
        <w:t xml:space="preserve"> Imágenes digitalizadas de los fondos documentales, logrando un 153% de cumplimiento frente a la meta establecida para el cuatrienio, en donde se obtuvieron 30.682.257 imágenes digitalizadas disponibles en internet.</w:t>
      </w:r>
    </w:p>
    <w:p w:rsidR="006029CA" w:rsidRPr="006029CA" w:rsidRDefault="006029CA" w:rsidP="00C759EA">
      <w:pPr>
        <w:spacing w:line="240" w:lineRule="auto"/>
        <w:jc w:val="both"/>
        <w:rPr>
          <w:rFonts w:ascii="Arial" w:hAnsi="Arial" w:cs="Arial"/>
          <w:sz w:val="24"/>
          <w:szCs w:val="24"/>
        </w:rPr>
      </w:pPr>
      <w:r w:rsidRPr="006029CA">
        <w:rPr>
          <w:rFonts w:ascii="Arial" w:hAnsi="Arial" w:cs="Arial"/>
          <w:sz w:val="24"/>
          <w:szCs w:val="24"/>
        </w:rPr>
        <w:t xml:space="preserve">Así mismo se realizó la medición del indicador Imágenes digitalizadas de los fondos documentales del AGN para consulta a través de Internet, el cual se relaciona con el indicador anterior y se obtuvieron unos resultados de cumplimiento </w:t>
      </w:r>
      <w:r w:rsidR="003907D0">
        <w:rPr>
          <w:rFonts w:ascii="Arial" w:hAnsi="Arial" w:cs="Arial"/>
          <w:sz w:val="24"/>
          <w:szCs w:val="24"/>
        </w:rPr>
        <w:t>superiores al</w:t>
      </w:r>
      <w:r w:rsidRPr="006029CA">
        <w:rPr>
          <w:rFonts w:ascii="Arial" w:hAnsi="Arial" w:cs="Arial"/>
          <w:sz w:val="24"/>
          <w:szCs w:val="24"/>
        </w:rPr>
        <w:t xml:space="preserve"> </w:t>
      </w:r>
      <w:r w:rsidR="003907D0">
        <w:rPr>
          <w:rFonts w:ascii="Arial" w:hAnsi="Arial" w:cs="Arial"/>
          <w:sz w:val="24"/>
          <w:szCs w:val="24"/>
        </w:rPr>
        <w:t>106</w:t>
      </w:r>
      <w:r w:rsidRPr="006029CA">
        <w:rPr>
          <w:rFonts w:ascii="Arial" w:hAnsi="Arial" w:cs="Arial"/>
          <w:sz w:val="24"/>
          <w:szCs w:val="24"/>
        </w:rPr>
        <w:t>% frente a la meta establecida, con un total de imágenes publicadas en internet 21.270.749.</w:t>
      </w:r>
    </w:p>
    <w:p w:rsidR="00C96BB4" w:rsidRPr="000A07A4" w:rsidRDefault="00C96BB4" w:rsidP="00EA55AB">
      <w:pPr>
        <w:pStyle w:val="Ttulo1"/>
        <w:numPr>
          <w:ilvl w:val="0"/>
          <w:numId w:val="1"/>
        </w:numPr>
        <w:spacing w:before="0"/>
        <w:ind w:left="-567" w:hanging="283"/>
        <w:jc w:val="both"/>
        <w:rPr>
          <w:rFonts w:ascii="Arial" w:hAnsi="Arial" w:cs="Arial"/>
          <w:color w:val="244061" w:themeColor="accent1" w:themeShade="80"/>
          <w:sz w:val="24"/>
          <w:szCs w:val="24"/>
        </w:rPr>
      </w:pPr>
      <w:bookmarkStart w:id="7" w:name="_Toc536727069"/>
      <w:r w:rsidRPr="000A07A4">
        <w:rPr>
          <w:rFonts w:ascii="Arial" w:hAnsi="Arial" w:cs="Arial"/>
          <w:color w:val="244061" w:themeColor="accent1" w:themeShade="80"/>
          <w:sz w:val="24"/>
          <w:szCs w:val="24"/>
        </w:rPr>
        <w:t>FORTALECER EL SECTOR CINEMATOGRÁFICO.</w:t>
      </w:r>
      <w:bookmarkEnd w:id="7"/>
    </w:p>
    <w:p w:rsidR="00CE10B9" w:rsidRPr="000A07A4" w:rsidRDefault="00CE10B9" w:rsidP="00CE10B9">
      <w:pPr>
        <w:rPr>
          <w:rFonts w:ascii="Arial" w:hAnsi="Arial" w:cs="Arial"/>
          <w:sz w:val="24"/>
          <w:szCs w:val="24"/>
        </w:rPr>
      </w:pPr>
    </w:p>
    <w:tbl>
      <w:tblPr>
        <w:tblW w:w="10264" w:type="dxa"/>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4"/>
        <w:gridCol w:w="941"/>
        <w:gridCol w:w="942"/>
        <w:gridCol w:w="942"/>
        <w:gridCol w:w="942"/>
        <w:gridCol w:w="942"/>
        <w:gridCol w:w="1001"/>
        <w:gridCol w:w="1410"/>
      </w:tblGrid>
      <w:tr w:rsidR="00C759EA" w:rsidRPr="00E259AE" w:rsidTr="00C759EA">
        <w:trPr>
          <w:trHeight w:val="597"/>
          <w:jc w:val="center"/>
        </w:trPr>
        <w:tc>
          <w:tcPr>
            <w:tcW w:w="3144" w:type="dxa"/>
            <w:shd w:val="clear" w:color="auto" w:fill="auto"/>
            <w:vAlign w:val="center"/>
            <w:hideMark/>
          </w:tcPr>
          <w:p w:rsidR="00C759EA" w:rsidRPr="00E259AE" w:rsidRDefault="00C759EA" w:rsidP="00CE10B9">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t>Fortalecer al sector cinematográfico</w:t>
            </w:r>
          </w:p>
        </w:tc>
        <w:tc>
          <w:tcPr>
            <w:tcW w:w="94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sidRPr="00E259AE">
              <w:rPr>
                <w:rFonts w:ascii="Arial" w:eastAsia="Times New Roman" w:hAnsi="Arial" w:cs="Arial"/>
                <w:b/>
                <w:bCs/>
                <w:color w:val="1F497D"/>
                <w:sz w:val="18"/>
                <w:szCs w:val="18"/>
                <w:lang w:eastAsia="es-CO"/>
              </w:rPr>
              <w:br/>
              <w:t>(parcial)</w:t>
            </w:r>
          </w:p>
        </w:tc>
        <w:tc>
          <w:tcPr>
            <w:tcW w:w="100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1410"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874"/>
          <w:jc w:val="center"/>
        </w:trPr>
        <w:tc>
          <w:tcPr>
            <w:tcW w:w="3144" w:type="dxa"/>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 xml:space="preserve">Rodaje de películas en el país en el marco de la ley 1556 de 2012 (Fondo Fílmico Colombia – FFC) </w:t>
            </w:r>
          </w:p>
        </w:tc>
        <w:tc>
          <w:tcPr>
            <w:tcW w:w="94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4</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17</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20</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26</w:t>
            </w:r>
          </w:p>
        </w:tc>
        <w:tc>
          <w:tcPr>
            <w:tcW w:w="100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22</w:t>
            </w:r>
          </w:p>
        </w:tc>
        <w:tc>
          <w:tcPr>
            <w:tcW w:w="1410"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118,18%</w:t>
            </w:r>
          </w:p>
        </w:tc>
      </w:tr>
      <w:tr w:rsidR="00C759EA" w:rsidRPr="00E259AE" w:rsidTr="00C759EA">
        <w:trPr>
          <w:trHeight w:val="743"/>
          <w:jc w:val="center"/>
        </w:trPr>
        <w:tc>
          <w:tcPr>
            <w:tcW w:w="3144" w:type="dxa"/>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lastRenderedPageBreak/>
              <w:t xml:space="preserve">Largometrajes de cine, de producción o coproducción nacional, estrenados comercialmente en el país </w:t>
            </w:r>
          </w:p>
        </w:tc>
        <w:tc>
          <w:tcPr>
            <w:tcW w:w="94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90</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36</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77</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121</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159</w:t>
            </w:r>
          </w:p>
        </w:tc>
        <w:tc>
          <w:tcPr>
            <w:tcW w:w="100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101</w:t>
            </w:r>
          </w:p>
        </w:tc>
        <w:tc>
          <w:tcPr>
            <w:tcW w:w="1410"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157,43%</w:t>
            </w:r>
          </w:p>
        </w:tc>
      </w:tr>
      <w:tr w:rsidR="00C759EA" w:rsidRPr="00E259AE" w:rsidTr="00C759EA">
        <w:trPr>
          <w:trHeight w:val="874"/>
          <w:jc w:val="center"/>
        </w:trPr>
        <w:tc>
          <w:tcPr>
            <w:tcW w:w="3144" w:type="dxa"/>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Empresas productoras cinematográficas fortalecidas</w:t>
            </w:r>
          </w:p>
        </w:tc>
        <w:tc>
          <w:tcPr>
            <w:tcW w:w="94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16</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16</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17</w:t>
            </w:r>
          </w:p>
        </w:tc>
        <w:tc>
          <w:tcPr>
            <w:tcW w:w="100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w:t>
            </w:r>
          </w:p>
        </w:tc>
        <w:tc>
          <w:tcPr>
            <w:tcW w:w="1410"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141,67%</w:t>
            </w:r>
          </w:p>
        </w:tc>
      </w:tr>
      <w:tr w:rsidR="00C759EA" w:rsidRPr="00E259AE" w:rsidTr="00C759EA">
        <w:trPr>
          <w:trHeight w:val="874"/>
          <w:jc w:val="center"/>
        </w:trPr>
        <w:tc>
          <w:tcPr>
            <w:tcW w:w="3144" w:type="dxa"/>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Espectadores en salas de cine en el país de películas colombianas</w:t>
            </w:r>
          </w:p>
        </w:tc>
        <w:tc>
          <w:tcPr>
            <w:tcW w:w="94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2.168.159</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3.445.058</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4.786.999</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3.680.874</w:t>
            </w:r>
          </w:p>
        </w:tc>
        <w:tc>
          <w:tcPr>
            <w:tcW w:w="942"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2.177.111</w:t>
            </w:r>
          </w:p>
        </w:tc>
        <w:tc>
          <w:tcPr>
            <w:tcW w:w="1001"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3.000.000</w:t>
            </w:r>
          </w:p>
        </w:tc>
        <w:tc>
          <w:tcPr>
            <w:tcW w:w="1410" w:type="dxa"/>
            <w:shd w:val="clear" w:color="auto" w:fill="auto"/>
            <w:vAlign w:val="center"/>
            <w:hideMark/>
          </w:tcPr>
          <w:p w:rsidR="00C759EA" w:rsidRPr="00E259AE" w:rsidRDefault="00C759EA" w:rsidP="00CE10B9">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72,57%</w:t>
            </w:r>
          </w:p>
        </w:tc>
      </w:tr>
    </w:tbl>
    <w:p w:rsidR="00CE10B9" w:rsidRPr="000A07A4" w:rsidRDefault="00CE10B9" w:rsidP="009607CA">
      <w:pPr>
        <w:spacing w:line="240" w:lineRule="auto"/>
        <w:jc w:val="both"/>
        <w:rPr>
          <w:rFonts w:ascii="Arial" w:hAnsi="Arial" w:cs="Arial"/>
          <w:sz w:val="24"/>
          <w:szCs w:val="24"/>
        </w:rPr>
      </w:pPr>
    </w:p>
    <w:p w:rsidR="00CE10B9" w:rsidRPr="000A07A4" w:rsidRDefault="00CE10B9" w:rsidP="00C759EA">
      <w:pPr>
        <w:spacing w:line="240" w:lineRule="auto"/>
        <w:jc w:val="both"/>
        <w:rPr>
          <w:rFonts w:ascii="Arial" w:hAnsi="Arial" w:cs="Arial"/>
          <w:sz w:val="24"/>
          <w:szCs w:val="24"/>
        </w:rPr>
      </w:pPr>
      <w:r w:rsidRPr="000A07A4">
        <w:rPr>
          <w:rFonts w:ascii="Arial" w:hAnsi="Arial" w:cs="Arial"/>
          <w:sz w:val="24"/>
          <w:szCs w:val="24"/>
        </w:rPr>
        <w:t>En Colombia la Ley 814 de 2003 y la Ley 1556 de 2012 son los principales instrumentos para impulsar el desarrollo de la actividad cinematográfica; la Ley 814, o ley de cine, ofrece estímulos para producciones y coproducciones colombianas a través de dos mecanismos:</w:t>
      </w:r>
    </w:p>
    <w:p w:rsidR="00CE10B9" w:rsidRPr="000A07A4" w:rsidRDefault="00486738" w:rsidP="00C759EA">
      <w:pPr>
        <w:spacing w:line="240" w:lineRule="auto"/>
        <w:jc w:val="both"/>
        <w:rPr>
          <w:rFonts w:ascii="Arial" w:hAnsi="Arial" w:cs="Arial"/>
          <w:sz w:val="24"/>
          <w:szCs w:val="24"/>
        </w:rPr>
      </w:pPr>
      <w:r w:rsidRPr="000A07A4">
        <w:rPr>
          <w:rFonts w:ascii="Arial" w:hAnsi="Arial" w:cs="Arial"/>
          <w:sz w:val="24"/>
          <w:szCs w:val="24"/>
        </w:rPr>
        <w:t xml:space="preserve">I) </w:t>
      </w:r>
      <w:r w:rsidR="00CE10B9" w:rsidRPr="000A07A4">
        <w:rPr>
          <w:rFonts w:ascii="Arial" w:hAnsi="Arial" w:cs="Arial"/>
          <w:sz w:val="24"/>
          <w:szCs w:val="24"/>
        </w:rPr>
        <w:t>Estímulos tributarios para</w:t>
      </w:r>
      <w:r w:rsidRPr="000A07A4">
        <w:rPr>
          <w:rFonts w:ascii="Arial" w:hAnsi="Arial" w:cs="Arial"/>
          <w:sz w:val="24"/>
          <w:szCs w:val="24"/>
        </w:rPr>
        <w:t xml:space="preserve"> </w:t>
      </w:r>
      <w:r w:rsidR="00CE10B9" w:rsidRPr="000A07A4">
        <w:rPr>
          <w:rFonts w:ascii="Arial" w:hAnsi="Arial" w:cs="Arial"/>
          <w:sz w:val="24"/>
          <w:szCs w:val="24"/>
        </w:rPr>
        <w:t>aquellos contribuyentes que inviertan</w:t>
      </w:r>
      <w:r w:rsidRPr="000A07A4">
        <w:rPr>
          <w:rFonts w:ascii="Arial" w:hAnsi="Arial" w:cs="Arial"/>
          <w:sz w:val="24"/>
          <w:szCs w:val="24"/>
        </w:rPr>
        <w:t xml:space="preserve"> </w:t>
      </w:r>
      <w:r w:rsidR="00CE10B9" w:rsidRPr="000A07A4">
        <w:rPr>
          <w:rFonts w:ascii="Arial" w:hAnsi="Arial" w:cs="Arial"/>
          <w:sz w:val="24"/>
          <w:szCs w:val="24"/>
        </w:rPr>
        <w:t>en proyectos cinematográficos nacionales</w:t>
      </w:r>
      <w:r w:rsidRPr="000A07A4">
        <w:rPr>
          <w:rFonts w:ascii="Arial" w:hAnsi="Arial" w:cs="Arial"/>
          <w:sz w:val="24"/>
          <w:szCs w:val="24"/>
        </w:rPr>
        <w:t xml:space="preserve"> </w:t>
      </w:r>
      <w:r w:rsidR="00CE10B9" w:rsidRPr="000A07A4">
        <w:rPr>
          <w:rFonts w:ascii="Arial" w:hAnsi="Arial" w:cs="Arial"/>
          <w:sz w:val="24"/>
          <w:szCs w:val="24"/>
        </w:rPr>
        <w:t>y II) El Fondo para el Desarrollo</w:t>
      </w:r>
      <w:r w:rsidRPr="000A07A4">
        <w:rPr>
          <w:rFonts w:ascii="Arial" w:hAnsi="Arial" w:cs="Arial"/>
          <w:sz w:val="24"/>
          <w:szCs w:val="24"/>
        </w:rPr>
        <w:t xml:space="preserve"> </w:t>
      </w:r>
      <w:r w:rsidR="00CE10B9" w:rsidRPr="000A07A4">
        <w:rPr>
          <w:rFonts w:ascii="Arial" w:hAnsi="Arial" w:cs="Arial"/>
          <w:sz w:val="24"/>
          <w:szCs w:val="24"/>
        </w:rPr>
        <w:t>Cinematográfico - FDC; por su parte,</w:t>
      </w:r>
      <w:r w:rsidRPr="000A07A4">
        <w:rPr>
          <w:rFonts w:ascii="Arial" w:hAnsi="Arial" w:cs="Arial"/>
          <w:sz w:val="24"/>
          <w:szCs w:val="24"/>
        </w:rPr>
        <w:t xml:space="preserve"> </w:t>
      </w:r>
      <w:r w:rsidR="00CE10B9" w:rsidRPr="000A07A4">
        <w:rPr>
          <w:rFonts w:ascii="Arial" w:hAnsi="Arial" w:cs="Arial"/>
          <w:sz w:val="24"/>
          <w:szCs w:val="24"/>
        </w:rPr>
        <w:t>la Ley 1556 ofrece beneficios económicos</w:t>
      </w:r>
      <w:r w:rsidRPr="000A07A4">
        <w:rPr>
          <w:rFonts w:ascii="Arial" w:hAnsi="Arial" w:cs="Arial"/>
          <w:sz w:val="24"/>
          <w:szCs w:val="24"/>
        </w:rPr>
        <w:t xml:space="preserve"> </w:t>
      </w:r>
      <w:r w:rsidR="00CE10B9" w:rsidRPr="000A07A4">
        <w:rPr>
          <w:rFonts w:ascii="Arial" w:hAnsi="Arial" w:cs="Arial"/>
          <w:sz w:val="24"/>
          <w:szCs w:val="24"/>
        </w:rPr>
        <w:t>a las empresas que rueden obras</w:t>
      </w:r>
      <w:r w:rsidRPr="000A07A4">
        <w:rPr>
          <w:rFonts w:ascii="Arial" w:hAnsi="Arial" w:cs="Arial"/>
          <w:sz w:val="24"/>
          <w:szCs w:val="24"/>
        </w:rPr>
        <w:t xml:space="preserve"> </w:t>
      </w:r>
      <w:r w:rsidR="00CE10B9" w:rsidRPr="000A07A4">
        <w:rPr>
          <w:rFonts w:ascii="Arial" w:hAnsi="Arial" w:cs="Arial"/>
          <w:sz w:val="24"/>
          <w:szCs w:val="24"/>
        </w:rPr>
        <w:t>cinematográficas en Colombia.</w:t>
      </w:r>
    </w:p>
    <w:p w:rsidR="00486738" w:rsidRPr="000A07A4" w:rsidRDefault="00486738" w:rsidP="00C759EA">
      <w:pPr>
        <w:autoSpaceDE w:val="0"/>
        <w:autoSpaceDN w:val="0"/>
        <w:adjustRightInd w:val="0"/>
        <w:spacing w:after="0" w:line="240" w:lineRule="auto"/>
        <w:jc w:val="both"/>
        <w:rPr>
          <w:rFonts w:ascii="Arial" w:hAnsi="Arial" w:cs="Arial"/>
          <w:sz w:val="24"/>
          <w:szCs w:val="24"/>
        </w:rPr>
      </w:pPr>
      <w:r w:rsidRPr="000A07A4">
        <w:rPr>
          <w:rFonts w:ascii="Arial" w:hAnsi="Arial" w:cs="Arial"/>
          <w:color w:val="1A1A1A"/>
          <w:sz w:val="24"/>
          <w:szCs w:val="24"/>
        </w:rPr>
        <w:t xml:space="preserve">El desarrollo de la industria cinematográfica colombiana ha tenido como herramienta principal la Ley 814 de 2003, mejor conocida como </w:t>
      </w:r>
      <w:r w:rsidRPr="000A07A4">
        <w:rPr>
          <w:rFonts w:ascii="Arial" w:hAnsi="Arial" w:cs="Arial"/>
          <w:i/>
          <w:iCs/>
          <w:color w:val="1A1A1A"/>
          <w:sz w:val="24"/>
          <w:szCs w:val="24"/>
        </w:rPr>
        <w:t>Ley de Cine</w:t>
      </w:r>
      <w:r w:rsidRPr="000A07A4">
        <w:rPr>
          <w:rFonts w:ascii="Arial" w:hAnsi="Arial" w:cs="Arial"/>
          <w:color w:val="1A1A1A"/>
          <w:sz w:val="24"/>
          <w:szCs w:val="24"/>
        </w:rPr>
        <w:t>. Las películas estrenadas entre 2014 y 2018 constituyeron al incremento de filmes producidos en la historia del cine colombiano, y significó empleo para realizadores y técnicos, nuevas inversiones en tecnologías y una oferta amplia y diversa de historias para los espectadores.</w:t>
      </w:r>
    </w:p>
    <w:p w:rsidR="005E38FC" w:rsidRDefault="00486738" w:rsidP="00C759EA">
      <w:pPr>
        <w:spacing w:line="240" w:lineRule="auto"/>
        <w:jc w:val="both"/>
        <w:rPr>
          <w:rFonts w:ascii="Arial" w:hAnsi="Arial" w:cs="Arial"/>
          <w:sz w:val="24"/>
          <w:szCs w:val="24"/>
        </w:rPr>
      </w:pPr>
      <w:r w:rsidRPr="000A07A4">
        <w:rPr>
          <w:rFonts w:ascii="Arial" w:hAnsi="Arial" w:cs="Arial"/>
          <w:sz w:val="24"/>
          <w:szCs w:val="24"/>
        </w:rPr>
        <w:t>De acuerdo a lo manifestado anteriormente y dando cumplimiento a las metas establecidas para el cuatrienio, e</w:t>
      </w:r>
      <w:r w:rsidR="00CE10B9" w:rsidRPr="000A07A4">
        <w:rPr>
          <w:rFonts w:ascii="Arial" w:hAnsi="Arial" w:cs="Arial"/>
          <w:sz w:val="24"/>
          <w:szCs w:val="24"/>
        </w:rPr>
        <w:t>n esta línea estratégica</w:t>
      </w:r>
      <w:r w:rsidR="009607CA" w:rsidRPr="000A07A4">
        <w:rPr>
          <w:rFonts w:ascii="Arial" w:hAnsi="Arial" w:cs="Arial"/>
          <w:sz w:val="24"/>
          <w:szCs w:val="24"/>
        </w:rPr>
        <w:t>,</w:t>
      </w:r>
      <w:r w:rsidR="00CE10B9" w:rsidRPr="000A07A4">
        <w:rPr>
          <w:rFonts w:ascii="Arial" w:hAnsi="Arial" w:cs="Arial"/>
          <w:sz w:val="24"/>
          <w:szCs w:val="24"/>
        </w:rPr>
        <w:t xml:space="preserve"> </w:t>
      </w:r>
      <w:r w:rsidRPr="000A07A4">
        <w:rPr>
          <w:rFonts w:ascii="Arial" w:hAnsi="Arial" w:cs="Arial"/>
          <w:sz w:val="24"/>
          <w:szCs w:val="24"/>
        </w:rPr>
        <w:t>tres (</w:t>
      </w:r>
      <w:r w:rsidR="00CE10B9" w:rsidRPr="000A07A4">
        <w:rPr>
          <w:rFonts w:ascii="Arial" w:hAnsi="Arial" w:cs="Arial"/>
          <w:sz w:val="24"/>
          <w:szCs w:val="24"/>
        </w:rPr>
        <w:t>3</w:t>
      </w:r>
      <w:r w:rsidRPr="000A07A4">
        <w:rPr>
          <w:rFonts w:ascii="Arial" w:hAnsi="Arial" w:cs="Arial"/>
          <w:sz w:val="24"/>
          <w:szCs w:val="24"/>
        </w:rPr>
        <w:t>)</w:t>
      </w:r>
      <w:r w:rsidR="00CE10B9" w:rsidRPr="000A07A4">
        <w:rPr>
          <w:rFonts w:ascii="Arial" w:hAnsi="Arial" w:cs="Arial"/>
          <w:sz w:val="24"/>
          <w:szCs w:val="24"/>
        </w:rPr>
        <w:t xml:space="preserve"> de los </w:t>
      </w:r>
      <w:r w:rsidRPr="000A07A4">
        <w:rPr>
          <w:rFonts w:ascii="Arial" w:hAnsi="Arial" w:cs="Arial"/>
          <w:sz w:val="24"/>
          <w:szCs w:val="24"/>
        </w:rPr>
        <w:t>cuatro (</w:t>
      </w:r>
      <w:r w:rsidR="00CE10B9" w:rsidRPr="000A07A4">
        <w:rPr>
          <w:rFonts w:ascii="Arial" w:hAnsi="Arial" w:cs="Arial"/>
          <w:sz w:val="24"/>
          <w:szCs w:val="24"/>
        </w:rPr>
        <w:t>4</w:t>
      </w:r>
      <w:r w:rsidRPr="000A07A4">
        <w:rPr>
          <w:rFonts w:ascii="Arial" w:hAnsi="Arial" w:cs="Arial"/>
          <w:sz w:val="24"/>
          <w:szCs w:val="24"/>
        </w:rPr>
        <w:t>)</w:t>
      </w:r>
      <w:r w:rsidR="00CE10B9" w:rsidRPr="000A07A4">
        <w:rPr>
          <w:rFonts w:ascii="Arial" w:hAnsi="Arial" w:cs="Arial"/>
          <w:sz w:val="24"/>
          <w:szCs w:val="24"/>
        </w:rPr>
        <w:t xml:space="preserve"> indicadores tuvieron un cumplimiento </w:t>
      </w:r>
      <w:r w:rsidRPr="000A07A4">
        <w:rPr>
          <w:rFonts w:ascii="Arial" w:hAnsi="Arial" w:cs="Arial"/>
          <w:sz w:val="24"/>
          <w:szCs w:val="24"/>
        </w:rPr>
        <w:t>superior a</w:t>
      </w:r>
      <w:r w:rsidR="009607CA" w:rsidRPr="000A07A4">
        <w:rPr>
          <w:rFonts w:ascii="Arial" w:hAnsi="Arial" w:cs="Arial"/>
          <w:sz w:val="24"/>
          <w:szCs w:val="24"/>
        </w:rPr>
        <w:t xml:space="preserve">l 100%. </w:t>
      </w:r>
    </w:p>
    <w:p w:rsidR="009607CA" w:rsidRPr="000A07A4" w:rsidRDefault="009607CA" w:rsidP="00C759EA">
      <w:pPr>
        <w:spacing w:line="240" w:lineRule="auto"/>
        <w:jc w:val="both"/>
        <w:rPr>
          <w:rFonts w:ascii="Arial" w:hAnsi="Arial" w:cs="Arial"/>
          <w:sz w:val="24"/>
          <w:szCs w:val="24"/>
        </w:rPr>
      </w:pPr>
      <w:r w:rsidRPr="000A07A4">
        <w:rPr>
          <w:rFonts w:ascii="Arial" w:hAnsi="Arial" w:cs="Arial"/>
          <w:sz w:val="24"/>
          <w:szCs w:val="24"/>
        </w:rPr>
        <w:t>En cuanto al</w:t>
      </w:r>
      <w:r w:rsidR="00CE10B9" w:rsidRPr="000A07A4">
        <w:rPr>
          <w:rFonts w:ascii="Arial" w:hAnsi="Arial" w:cs="Arial"/>
          <w:sz w:val="24"/>
          <w:szCs w:val="24"/>
        </w:rPr>
        <w:t xml:space="preserve"> indicador </w:t>
      </w:r>
      <w:r w:rsidR="00486738" w:rsidRPr="000A07A4">
        <w:rPr>
          <w:rFonts w:ascii="Arial" w:hAnsi="Arial" w:cs="Arial"/>
          <w:sz w:val="24"/>
          <w:szCs w:val="24"/>
        </w:rPr>
        <w:t xml:space="preserve">relacionado con </w:t>
      </w:r>
      <w:r w:rsidR="00B662FF">
        <w:rPr>
          <w:rFonts w:ascii="Arial" w:hAnsi="Arial" w:cs="Arial"/>
          <w:sz w:val="24"/>
          <w:szCs w:val="24"/>
        </w:rPr>
        <w:t>“</w:t>
      </w:r>
      <w:r w:rsidR="00486738" w:rsidRPr="000A07A4">
        <w:rPr>
          <w:rFonts w:ascii="Arial" w:hAnsi="Arial" w:cs="Arial"/>
          <w:sz w:val="24"/>
          <w:szCs w:val="24"/>
        </w:rPr>
        <w:t>e</w:t>
      </w:r>
      <w:r w:rsidR="00CE10B9" w:rsidRPr="000A07A4">
        <w:rPr>
          <w:rFonts w:ascii="Arial" w:hAnsi="Arial" w:cs="Arial"/>
          <w:sz w:val="24"/>
          <w:szCs w:val="24"/>
        </w:rPr>
        <w:t>spectadores en salas de cine en el país de películas colombianas</w:t>
      </w:r>
      <w:r w:rsidR="00B662FF">
        <w:rPr>
          <w:rFonts w:ascii="Arial" w:hAnsi="Arial" w:cs="Arial"/>
          <w:sz w:val="24"/>
          <w:szCs w:val="24"/>
        </w:rPr>
        <w:t xml:space="preserve">”, el cumplimiento </w:t>
      </w:r>
      <w:r w:rsidR="005E38FC" w:rsidRPr="005E38FC">
        <w:rPr>
          <w:rFonts w:ascii="Arial" w:hAnsi="Arial" w:cs="Arial"/>
          <w:sz w:val="24"/>
          <w:szCs w:val="24"/>
        </w:rPr>
        <w:t>estuvo por debajo de la meta establecida</w:t>
      </w:r>
      <w:r w:rsidR="00B662FF">
        <w:rPr>
          <w:rFonts w:ascii="Arial" w:hAnsi="Arial" w:cs="Arial"/>
          <w:sz w:val="24"/>
          <w:szCs w:val="24"/>
        </w:rPr>
        <w:t xml:space="preserve"> para el cuatrienio. S</w:t>
      </w:r>
      <w:r w:rsidR="005E38FC" w:rsidRPr="005E38FC">
        <w:rPr>
          <w:rFonts w:ascii="Arial" w:hAnsi="Arial" w:cs="Arial"/>
          <w:sz w:val="24"/>
          <w:szCs w:val="24"/>
        </w:rPr>
        <w:t>i bien</w:t>
      </w:r>
      <w:r w:rsidR="00B662FF">
        <w:rPr>
          <w:rFonts w:ascii="Arial" w:hAnsi="Arial" w:cs="Arial"/>
          <w:sz w:val="24"/>
          <w:szCs w:val="24"/>
        </w:rPr>
        <w:t>, en</w:t>
      </w:r>
      <w:r w:rsidR="005E38FC" w:rsidRPr="005E38FC">
        <w:rPr>
          <w:rFonts w:ascii="Arial" w:hAnsi="Arial" w:cs="Arial"/>
          <w:sz w:val="24"/>
          <w:szCs w:val="24"/>
        </w:rPr>
        <w:t xml:space="preserve"> los años anteriores la cantidad de espectadores de películas colombianas supero los 3.000.000</w:t>
      </w:r>
      <w:r w:rsidR="00B662FF">
        <w:rPr>
          <w:rFonts w:ascii="Arial" w:hAnsi="Arial" w:cs="Arial"/>
          <w:sz w:val="24"/>
          <w:szCs w:val="24"/>
        </w:rPr>
        <w:t>, en el año 2018, disminuyó</w:t>
      </w:r>
      <w:r w:rsidR="005E38FC" w:rsidRPr="005E38FC">
        <w:rPr>
          <w:rFonts w:ascii="Arial" w:hAnsi="Arial" w:cs="Arial"/>
          <w:sz w:val="24"/>
          <w:szCs w:val="24"/>
        </w:rPr>
        <w:t xml:space="preserve"> la cantidad </w:t>
      </w:r>
      <w:r w:rsidR="00B662FF">
        <w:rPr>
          <w:rFonts w:ascii="Arial" w:hAnsi="Arial" w:cs="Arial"/>
          <w:sz w:val="24"/>
          <w:szCs w:val="24"/>
        </w:rPr>
        <w:t>de asistentes debido a que se redujeron los</w:t>
      </w:r>
      <w:r w:rsidR="005E38FC" w:rsidRPr="005E38FC">
        <w:rPr>
          <w:rFonts w:ascii="Arial" w:hAnsi="Arial" w:cs="Arial"/>
          <w:sz w:val="24"/>
          <w:szCs w:val="24"/>
        </w:rPr>
        <w:t xml:space="preserve"> larg</w:t>
      </w:r>
      <w:r w:rsidR="00B662FF">
        <w:rPr>
          <w:rFonts w:ascii="Arial" w:hAnsi="Arial" w:cs="Arial"/>
          <w:sz w:val="24"/>
          <w:szCs w:val="24"/>
        </w:rPr>
        <w:t>ometrajes nacionales producidos</w:t>
      </w:r>
      <w:r w:rsidR="005E38FC" w:rsidRPr="005E38FC">
        <w:rPr>
          <w:rFonts w:ascii="Arial" w:hAnsi="Arial" w:cs="Arial"/>
          <w:sz w:val="24"/>
          <w:szCs w:val="24"/>
        </w:rPr>
        <w:t xml:space="preserve">, </w:t>
      </w:r>
      <w:r w:rsidR="00B662FF">
        <w:rPr>
          <w:rFonts w:ascii="Arial" w:hAnsi="Arial" w:cs="Arial"/>
          <w:sz w:val="24"/>
          <w:szCs w:val="24"/>
        </w:rPr>
        <w:t>lo que</w:t>
      </w:r>
      <w:r w:rsidR="005E38FC" w:rsidRPr="005E38FC">
        <w:rPr>
          <w:rFonts w:ascii="Arial" w:hAnsi="Arial" w:cs="Arial"/>
          <w:sz w:val="24"/>
          <w:szCs w:val="24"/>
        </w:rPr>
        <w:t xml:space="preserve"> tuvo un impacto directo sobre la cantidad de espectadores que asistieron a salas de cine. Adicionalmente, el comportamiento de este indicador es fluctuante y depende de externalidades como precio de la boleta, programación, horarios, oferta cinematográfica, entre otros, que </w:t>
      </w:r>
      <w:r w:rsidR="00B662FF">
        <w:rPr>
          <w:rFonts w:ascii="Arial" w:hAnsi="Arial" w:cs="Arial"/>
          <w:sz w:val="24"/>
          <w:szCs w:val="24"/>
        </w:rPr>
        <w:t xml:space="preserve">están directamente relacionados con </w:t>
      </w:r>
      <w:r w:rsidR="005E38FC" w:rsidRPr="005E38FC">
        <w:rPr>
          <w:rFonts w:ascii="Arial" w:hAnsi="Arial" w:cs="Arial"/>
          <w:sz w:val="24"/>
          <w:szCs w:val="24"/>
        </w:rPr>
        <w:t>las dinámicas del mercado.</w:t>
      </w:r>
    </w:p>
    <w:p w:rsidR="00C96BB4" w:rsidRPr="000A07A4" w:rsidRDefault="00C96BB4" w:rsidP="00EA55AB">
      <w:pPr>
        <w:pStyle w:val="Ttulo1"/>
        <w:numPr>
          <w:ilvl w:val="0"/>
          <w:numId w:val="1"/>
        </w:numPr>
        <w:spacing w:before="0"/>
        <w:ind w:left="-567" w:hanging="283"/>
        <w:jc w:val="both"/>
        <w:rPr>
          <w:rFonts w:ascii="Arial" w:hAnsi="Arial" w:cs="Arial"/>
          <w:color w:val="244061" w:themeColor="accent1" w:themeShade="80"/>
          <w:sz w:val="24"/>
          <w:szCs w:val="24"/>
        </w:rPr>
      </w:pPr>
      <w:bookmarkStart w:id="8" w:name="_Toc536727070"/>
      <w:r w:rsidRPr="000A07A4">
        <w:rPr>
          <w:rFonts w:ascii="Arial" w:hAnsi="Arial" w:cs="Arial"/>
          <w:color w:val="244061" w:themeColor="accent1" w:themeShade="80"/>
          <w:sz w:val="24"/>
          <w:szCs w:val="24"/>
        </w:rPr>
        <w:t>APOYAR PROYECTOS DE INTERÉS PÚBLICO QUE DESARROLLEN PROCESOS ARTÍSTICOS O CULTURALES</w:t>
      </w:r>
      <w:bookmarkEnd w:id="8"/>
    </w:p>
    <w:p w:rsidR="00CD2BA9" w:rsidRPr="000A07A4" w:rsidRDefault="00CD2BA9" w:rsidP="00CD2BA9">
      <w:pPr>
        <w:rPr>
          <w:rFonts w:ascii="Arial" w:hAnsi="Arial" w:cs="Arial"/>
          <w:sz w:val="24"/>
          <w:szCs w:val="24"/>
        </w:rPr>
      </w:pPr>
    </w:p>
    <w:tbl>
      <w:tblPr>
        <w:tblW w:w="9794"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5"/>
        <w:gridCol w:w="765"/>
        <w:gridCol w:w="709"/>
        <w:gridCol w:w="708"/>
        <w:gridCol w:w="709"/>
        <w:gridCol w:w="851"/>
        <w:gridCol w:w="1134"/>
        <w:gridCol w:w="1373"/>
      </w:tblGrid>
      <w:tr w:rsidR="00C759EA" w:rsidRPr="00E259AE" w:rsidTr="00C759EA">
        <w:trPr>
          <w:trHeight w:val="675"/>
          <w:jc w:val="center"/>
        </w:trPr>
        <w:tc>
          <w:tcPr>
            <w:tcW w:w="3545" w:type="dxa"/>
            <w:shd w:val="clear" w:color="auto" w:fill="auto"/>
            <w:vAlign w:val="center"/>
            <w:hideMark/>
          </w:tcPr>
          <w:p w:rsidR="00C759EA" w:rsidRPr="00E259AE" w:rsidRDefault="00C759EA" w:rsidP="00D9444A">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lastRenderedPageBreak/>
              <w:t>Apoyo a proyectos de interés público</w:t>
            </w:r>
          </w:p>
        </w:tc>
        <w:tc>
          <w:tcPr>
            <w:tcW w:w="765"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709"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708"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709"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85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sidRPr="00E259AE">
              <w:rPr>
                <w:rFonts w:ascii="Arial" w:eastAsia="Times New Roman" w:hAnsi="Arial" w:cs="Arial"/>
                <w:b/>
                <w:bCs/>
                <w:color w:val="1F497D"/>
                <w:sz w:val="18"/>
                <w:szCs w:val="18"/>
                <w:lang w:eastAsia="es-CO"/>
              </w:rPr>
              <w:br/>
              <w:t>(parcial)</w:t>
            </w:r>
          </w:p>
        </w:tc>
        <w:tc>
          <w:tcPr>
            <w:tcW w:w="1134"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1373" w:type="dxa"/>
            <w:shd w:val="clear" w:color="auto" w:fill="auto"/>
            <w:vAlign w:val="center"/>
            <w:hideMark/>
          </w:tcPr>
          <w:p w:rsidR="00C759EA" w:rsidRPr="00E259AE" w:rsidRDefault="00C759EA" w:rsidP="00D9444A">
            <w:pPr>
              <w:spacing w:after="0" w:line="240" w:lineRule="auto"/>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465"/>
          <w:jc w:val="center"/>
        </w:trPr>
        <w:tc>
          <w:tcPr>
            <w:tcW w:w="3545" w:type="dxa"/>
            <w:shd w:val="clear" w:color="auto" w:fill="auto"/>
            <w:vAlign w:val="center"/>
            <w:hideMark/>
          </w:tcPr>
          <w:p w:rsidR="00C759EA" w:rsidRPr="00E259AE" w:rsidRDefault="00C759EA" w:rsidP="00D9444A">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Proyectos y actividades culturales apoyados anualmente</w:t>
            </w:r>
          </w:p>
        </w:tc>
        <w:tc>
          <w:tcPr>
            <w:tcW w:w="765"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5974</w:t>
            </w:r>
          </w:p>
        </w:tc>
        <w:tc>
          <w:tcPr>
            <w:tcW w:w="709"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1841</w:t>
            </w:r>
          </w:p>
        </w:tc>
        <w:tc>
          <w:tcPr>
            <w:tcW w:w="708"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1762</w:t>
            </w:r>
          </w:p>
        </w:tc>
        <w:tc>
          <w:tcPr>
            <w:tcW w:w="709"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2003</w:t>
            </w:r>
          </w:p>
        </w:tc>
        <w:tc>
          <w:tcPr>
            <w:tcW w:w="851" w:type="dxa"/>
            <w:shd w:val="clear" w:color="auto" w:fill="auto"/>
            <w:vAlign w:val="center"/>
            <w:hideMark/>
          </w:tcPr>
          <w:p w:rsidR="00C759EA" w:rsidRPr="00E259AE" w:rsidRDefault="00C759EA" w:rsidP="0023490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7.742</w:t>
            </w:r>
          </w:p>
        </w:tc>
        <w:tc>
          <w:tcPr>
            <w:tcW w:w="1134"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6.692</w:t>
            </w:r>
          </w:p>
        </w:tc>
        <w:tc>
          <w:tcPr>
            <w:tcW w:w="1373" w:type="dxa"/>
            <w:shd w:val="clear" w:color="auto" w:fill="auto"/>
            <w:vAlign w:val="center"/>
            <w:hideMark/>
          </w:tcPr>
          <w:p w:rsidR="00C759EA" w:rsidRPr="00E259AE" w:rsidRDefault="00C759EA" w:rsidP="00D9444A">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115%</w:t>
            </w:r>
          </w:p>
        </w:tc>
      </w:tr>
    </w:tbl>
    <w:p w:rsidR="003B6109" w:rsidRPr="000A07A4" w:rsidRDefault="003B6109" w:rsidP="00C759EA">
      <w:pPr>
        <w:spacing w:line="240" w:lineRule="auto"/>
        <w:jc w:val="both"/>
        <w:rPr>
          <w:rFonts w:ascii="Arial" w:hAnsi="Arial" w:cs="Arial"/>
          <w:sz w:val="24"/>
          <w:szCs w:val="24"/>
        </w:rPr>
      </w:pPr>
    </w:p>
    <w:p w:rsidR="003E5259" w:rsidRPr="000A07A4" w:rsidRDefault="003E5259" w:rsidP="00C759EA">
      <w:pPr>
        <w:pStyle w:val="Prrafodelista"/>
        <w:spacing w:after="0" w:line="240" w:lineRule="auto"/>
        <w:ind w:left="0"/>
        <w:jc w:val="both"/>
        <w:rPr>
          <w:rFonts w:ascii="Arial" w:eastAsia="MS Mincho" w:hAnsi="Arial" w:cs="Arial"/>
          <w:bCs/>
          <w:sz w:val="24"/>
          <w:szCs w:val="24"/>
          <w:lang w:val="es-MX" w:eastAsia="es-ES"/>
        </w:rPr>
      </w:pPr>
      <w:r w:rsidRPr="000A07A4">
        <w:rPr>
          <w:rFonts w:ascii="Arial" w:eastAsia="MS Mincho" w:hAnsi="Arial" w:cs="Arial"/>
          <w:bCs/>
          <w:sz w:val="24"/>
          <w:szCs w:val="24"/>
          <w:lang w:val="es-MX" w:eastAsia="es-ES"/>
        </w:rPr>
        <w:t xml:space="preserve">El indicador de proyectos y actividades culturales </w:t>
      </w:r>
      <w:proofErr w:type="gramStart"/>
      <w:r w:rsidRPr="000A07A4">
        <w:rPr>
          <w:rFonts w:ascii="Arial" w:eastAsia="MS Mincho" w:hAnsi="Arial" w:cs="Arial"/>
          <w:bCs/>
          <w:sz w:val="24"/>
          <w:szCs w:val="24"/>
          <w:lang w:val="es-MX" w:eastAsia="es-ES"/>
        </w:rPr>
        <w:t>apoyados</w:t>
      </w:r>
      <w:proofErr w:type="gramEnd"/>
      <w:r w:rsidRPr="000A07A4">
        <w:rPr>
          <w:rFonts w:ascii="Arial" w:eastAsia="MS Mincho" w:hAnsi="Arial" w:cs="Arial"/>
          <w:bCs/>
          <w:sz w:val="24"/>
          <w:szCs w:val="24"/>
          <w:lang w:val="es-MX" w:eastAsia="es-ES"/>
        </w:rPr>
        <w:t xml:space="preserve"> anualmente, fue liderado por el Programa Nacional de Concertación Cultural, que es una iniciativa del Ministerio de Cultura para propiciar y potenciar la participación regional en el desarrollo y cofinanciación de actividades, procesos y proyectos artísticos y culturales. Mediante convocatoria pública anual se invita a entidades territoriales, organizaciones e instituciones culturales de todo el país a que formulen y presenten sus iniciativas. Bajo los principios de diversidad y equidad, es la manera más democrática y transparente de asignar recursos, de consolidar y facilitar procesos culturales y de incentivar dinámicas regionales que responden a contextos locales.</w:t>
      </w:r>
    </w:p>
    <w:p w:rsidR="00400B56" w:rsidRPr="000A07A4" w:rsidRDefault="003E5259" w:rsidP="00C759EA">
      <w:pPr>
        <w:spacing w:line="240" w:lineRule="auto"/>
        <w:jc w:val="both"/>
        <w:rPr>
          <w:rFonts w:ascii="Arial" w:hAnsi="Arial" w:cs="Arial"/>
          <w:bCs/>
          <w:sz w:val="24"/>
          <w:szCs w:val="24"/>
          <w:lang w:val="es-MX"/>
        </w:rPr>
      </w:pPr>
      <w:r w:rsidRPr="000A07A4">
        <w:rPr>
          <w:rFonts w:ascii="Arial" w:hAnsi="Arial" w:cs="Arial"/>
          <w:bCs/>
          <w:sz w:val="24"/>
          <w:szCs w:val="24"/>
          <w:lang w:val="es-MX"/>
        </w:rPr>
        <w:t xml:space="preserve">En </w:t>
      </w:r>
      <w:r w:rsidR="000035ED" w:rsidRPr="000A07A4">
        <w:rPr>
          <w:rFonts w:ascii="Arial" w:hAnsi="Arial" w:cs="Arial"/>
          <w:bCs/>
          <w:sz w:val="24"/>
          <w:szCs w:val="24"/>
          <w:lang w:val="es-MX"/>
        </w:rPr>
        <w:t>este sentido y como se evidencia en la matriz</w:t>
      </w:r>
      <w:r w:rsidRPr="000A07A4">
        <w:rPr>
          <w:rFonts w:ascii="Arial" w:hAnsi="Arial" w:cs="Arial"/>
          <w:bCs/>
          <w:sz w:val="24"/>
          <w:szCs w:val="24"/>
          <w:lang w:val="es-MX"/>
        </w:rPr>
        <w:t xml:space="preserve"> se apoyaron 7.715 proyectos o actividades culturales desde el año 2015 hasta el 31 de diciembre de 2018, sobrepasando la meta establecida (6.692) en 1.0</w:t>
      </w:r>
      <w:r w:rsidR="0023490A" w:rsidRPr="000A07A4">
        <w:rPr>
          <w:rFonts w:ascii="Arial" w:hAnsi="Arial" w:cs="Arial"/>
          <w:bCs/>
          <w:sz w:val="24"/>
          <w:szCs w:val="24"/>
          <w:lang w:val="es-MX"/>
        </w:rPr>
        <w:t>50</w:t>
      </w:r>
      <w:r w:rsidRPr="000A07A4">
        <w:rPr>
          <w:rFonts w:ascii="Arial" w:hAnsi="Arial" w:cs="Arial"/>
          <w:bCs/>
          <w:sz w:val="24"/>
          <w:szCs w:val="24"/>
          <w:lang w:val="es-MX"/>
        </w:rPr>
        <w:t xml:space="preserve"> </w:t>
      </w:r>
      <w:r w:rsidR="000035ED" w:rsidRPr="000A07A4">
        <w:rPr>
          <w:rFonts w:ascii="Arial" w:hAnsi="Arial" w:cs="Arial"/>
          <w:bCs/>
          <w:sz w:val="24"/>
          <w:szCs w:val="24"/>
          <w:lang w:val="es-MX"/>
        </w:rPr>
        <w:t xml:space="preserve">proyectos o actividades; alcanzando un avance porcentual </w:t>
      </w:r>
      <w:r w:rsidR="0023490A" w:rsidRPr="000A07A4">
        <w:rPr>
          <w:rFonts w:ascii="Arial" w:hAnsi="Arial" w:cs="Arial"/>
          <w:bCs/>
          <w:sz w:val="24"/>
          <w:szCs w:val="24"/>
          <w:lang w:val="es-MX"/>
        </w:rPr>
        <w:t>superior a</w:t>
      </w:r>
      <w:r w:rsidR="000035ED" w:rsidRPr="000A07A4">
        <w:rPr>
          <w:rFonts w:ascii="Arial" w:hAnsi="Arial" w:cs="Arial"/>
          <w:bCs/>
          <w:sz w:val="24"/>
          <w:szCs w:val="24"/>
          <w:lang w:val="es-MX"/>
        </w:rPr>
        <w:t xml:space="preserve"> 115.</w:t>
      </w:r>
    </w:p>
    <w:p w:rsidR="0023490A" w:rsidRDefault="005E38FC" w:rsidP="00B662FF">
      <w:pPr>
        <w:pStyle w:val="Ttulo1"/>
        <w:numPr>
          <w:ilvl w:val="0"/>
          <w:numId w:val="1"/>
        </w:numPr>
        <w:spacing w:before="0"/>
        <w:ind w:left="-567" w:hanging="283"/>
        <w:jc w:val="both"/>
        <w:rPr>
          <w:rFonts w:ascii="Arial" w:hAnsi="Arial" w:cs="Arial"/>
          <w:color w:val="244061" w:themeColor="accent1" w:themeShade="80"/>
          <w:sz w:val="24"/>
          <w:szCs w:val="24"/>
        </w:rPr>
      </w:pPr>
      <w:bookmarkStart w:id="9" w:name="_Toc536727071"/>
      <w:r w:rsidRPr="00B662FF">
        <w:rPr>
          <w:rFonts w:ascii="Arial" w:hAnsi="Arial" w:cs="Arial"/>
          <w:color w:val="244061" w:themeColor="accent1" w:themeShade="80"/>
          <w:sz w:val="24"/>
          <w:szCs w:val="24"/>
        </w:rPr>
        <w:t>INDICADORES ESTABLECIDOS DE ACUERDO A COMPROMISOS ADQUIRIDOS CON LOS GRUPOS POBLACIONALES</w:t>
      </w:r>
      <w:bookmarkEnd w:id="9"/>
      <w:r w:rsidRPr="00B662FF">
        <w:rPr>
          <w:rFonts w:ascii="Arial" w:hAnsi="Arial" w:cs="Arial"/>
          <w:color w:val="244061" w:themeColor="accent1" w:themeShade="80"/>
          <w:sz w:val="24"/>
          <w:szCs w:val="24"/>
        </w:rPr>
        <w:t xml:space="preserve"> </w:t>
      </w:r>
    </w:p>
    <w:p w:rsidR="00B662FF" w:rsidRPr="00B662FF" w:rsidRDefault="00B662FF" w:rsidP="00B662FF"/>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2"/>
        <w:gridCol w:w="853"/>
        <w:gridCol w:w="854"/>
        <w:gridCol w:w="710"/>
        <w:gridCol w:w="734"/>
        <w:gridCol w:w="924"/>
        <w:gridCol w:w="1133"/>
        <w:gridCol w:w="1372"/>
      </w:tblGrid>
      <w:tr w:rsidR="00C759EA" w:rsidRPr="00E259AE" w:rsidTr="00C759EA">
        <w:trPr>
          <w:trHeight w:val="675"/>
          <w:jc w:val="center"/>
        </w:trPr>
        <w:tc>
          <w:tcPr>
            <w:tcW w:w="1254" w:type="pct"/>
            <w:shd w:val="clear" w:color="auto" w:fill="auto"/>
            <w:vAlign w:val="center"/>
            <w:hideMark/>
          </w:tcPr>
          <w:p w:rsidR="00C759EA" w:rsidRPr="00E259AE" w:rsidRDefault="00C759EA" w:rsidP="00CE10B9">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t>Grupos Étnicos</w:t>
            </w:r>
          </w:p>
        </w:tc>
        <w:tc>
          <w:tcPr>
            <w:tcW w:w="48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48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404"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418"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526"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sidRPr="00E259AE">
              <w:rPr>
                <w:rFonts w:ascii="Arial" w:eastAsia="Times New Roman" w:hAnsi="Arial" w:cs="Arial"/>
                <w:b/>
                <w:bCs/>
                <w:color w:val="1F497D"/>
                <w:sz w:val="18"/>
                <w:szCs w:val="18"/>
                <w:lang w:eastAsia="es-CO"/>
              </w:rPr>
              <w:br/>
              <w:t>(parcial)</w:t>
            </w:r>
          </w:p>
        </w:tc>
        <w:tc>
          <w:tcPr>
            <w:tcW w:w="645"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782"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690"/>
          <w:jc w:val="center"/>
        </w:trPr>
        <w:tc>
          <w:tcPr>
            <w:tcW w:w="1254" w:type="pct"/>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 xml:space="preserve">Beneficiarios de los Procesos formativos - pedagógicos para la trasmisión de la lengua desarrollados por las </w:t>
            </w:r>
            <w:proofErr w:type="spellStart"/>
            <w:r w:rsidRPr="00E259AE">
              <w:rPr>
                <w:rFonts w:ascii="Arial" w:eastAsia="Times New Roman" w:hAnsi="Arial" w:cs="Arial"/>
                <w:color w:val="000000"/>
                <w:sz w:val="18"/>
                <w:szCs w:val="18"/>
                <w:lang w:eastAsia="es-CO"/>
              </w:rPr>
              <w:t>Kumpañys</w:t>
            </w:r>
            <w:proofErr w:type="spellEnd"/>
          </w:p>
        </w:tc>
        <w:tc>
          <w:tcPr>
            <w:tcW w:w="48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486"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359</w:t>
            </w:r>
          </w:p>
        </w:tc>
        <w:tc>
          <w:tcPr>
            <w:tcW w:w="404"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139</w:t>
            </w:r>
          </w:p>
        </w:tc>
        <w:tc>
          <w:tcPr>
            <w:tcW w:w="418"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554</w:t>
            </w:r>
          </w:p>
        </w:tc>
        <w:tc>
          <w:tcPr>
            <w:tcW w:w="52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1.238</w:t>
            </w:r>
          </w:p>
        </w:tc>
        <w:tc>
          <w:tcPr>
            <w:tcW w:w="645"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w:t>
            </w:r>
          </w:p>
        </w:tc>
        <w:tc>
          <w:tcPr>
            <w:tcW w:w="782"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NA</w:t>
            </w:r>
          </w:p>
        </w:tc>
      </w:tr>
      <w:tr w:rsidR="00C759EA" w:rsidRPr="00E259AE" w:rsidTr="00C759EA">
        <w:trPr>
          <w:trHeight w:val="690"/>
          <w:jc w:val="center"/>
        </w:trPr>
        <w:tc>
          <w:tcPr>
            <w:tcW w:w="1254" w:type="pct"/>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proofErr w:type="spellStart"/>
            <w:r w:rsidRPr="00E259AE">
              <w:rPr>
                <w:rFonts w:ascii="Arial" w:eastAsia="Times New Roman" w:hAnsi="Arial" w:cs="Arial"/>
                <w:color w:val="000000"/>
                <w:sz w:val="18"/>
                <w:szCs w:val="18"/>
                <w:lang w:eastAsia="es-CO"/>
              </w:rPr>
              <w:t>Kumpañy</w:t>
            </w:r>
            <w:proofErr w:type="spellEnd"/>
            <w:r w:rsidRPr="00E259AE">
              <w:rPr>
                <w:rFonts w:ascii="Arial" w:eastAsia="Times New Roman" w:hAnsi="Arial" w:cs="Arial"/>
                <w:color w:val="000000"/>
                <w:sz w:val="18"/>
                <w:szCs w:val="18"/>
                <w:lang w:eastAsia="es-CO"/>
              </w:rPr>
              <w:t xml:space="preserve"> beneficiadas con procesos formativos - pedagógicos para la trasmisión de la lengua</w:t>
            </w:r>
          </w:p>
        </w:tc>
        <w:tc>
          <w:tcPr>
            <w:tcW w:w="48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486"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404"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418"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52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645"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11</w:t>
            </w:r>
          </w:p>
        </w:tc>
        <w:tc>
          <w:tcPr>
            <w:tcW w:w="782"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r>
      <w:tr w:rsidR="00C759EA" w:rsidRPr="00E259AE" w:rsidTr="00C759EA">
        <w:trPr>
          <w:trHeight w:val="690"/>
          <w:jc w:val="center"/>
        </w:trPr>
        <w:tc>
          <w:tcPr>
            <w:tcW w:w="1254" w:type="pct"/>
            <w:shd w:val="clear" w:color="auto" w:fill="auto"/>
            <w:vAlign w:val="center"/>
            <w:hideMark/>
          </w:tcPr>
          <w:p w:rsidR="00C759EA" w:rsidRPr="00E259AE" w:rsidRDefault="00C759EA" w:rsidP="00CE10B9">
            <w:pPr>
              <w:spacing w:after="0" w:line="240" w:lineRule="auto"/>
              <w:jc w:val="both"/>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 xml:space="preserve">Proyectos presentados por demanda para el fortalecimiento y </w:t>
            </w:r>
            <w:proofErr w:type="spellStart"/>
            <w:r w:rsidRPr="00E259AE">
              <w:rPr>
                <w:rFonts w:ascii="Arial" w:eastAsia="Times New Roman" w:hAnsi="Arial" w:cs="Arial"/>
                <w:color w:val="000000"/>
                <w:sz w:val="18"/>
                <w:szCs w:val="18"/>
                <w:lang w:eastAsia="es-CO"/>
              </w:rPr>
              <w:t>visibilización</w:t>
            </w:r>
            <w:proofErr w:type="spellEnd"/>
            <w:r w:rsidRPr="00E259AE">
              <w:rPr>
                <w:rFonts w:ascii="Arial" w:eastAsia="Times New Roman" w:hAnsi="Arial" w:cs="Arial"/>
                <w:color w:val="000000"/>
                <w:sz w:val="18"/>
                <w:szCs w:val="18"/>
                <w:lang w:eastAsia="es-CO"/>
              </w:rPr>
              <w:t xml:space="preserve"> de la identidad cultural del pueblo Gitano</w:t>
            </w:r>
          </w:p>
        </w:tc>
        <w:tc>
          <w:tcPr>
            <w:tcW w:w="48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486"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w:t>
            </w:r>
          </w:p>
        </w:tc>
        <w:tc>
          <w:tcPr>
            <w:tcW w:w="404"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w:t>
            </w:r>
          </w:p>
        </w:tc>
        <w:tc>
          <w:tcPr>
            <w:tcW w:w="418" w:type="pct"/>
            <w:shd w:val="clear" w:color="auto" w:fill="auto"/>
            <w:noWrap/>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12</w:t>
            </w:r>
          </w:p>
        </w:tc>
        <w:tc>
          <w:tcPr>
            <w:tcW w:w="526"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23</w:t>
            </w:r>
          </w:p>
        </w:tc>
        <w:tc>
          <w:tcPr>
            <w:tcW w:w="645"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w:t>
            </w:r>
          </w:p>
        </w:tc>
        <w:tc>
          <w:tcPr>
            <w:tcW w:w="782" w:type="pct"/>
            <w:shd w:val="clear" w:color="auto" w:fill="auto"/>
            <w:vAlign w:val="center"/>
            <w:hideMark/>
          </w:tcPr>
          <w:p w:rsidR="00C759EA" w:rsidRPr="00E259AE" w:rsidRDefault="00C759EA" w:rsidP="00537B05">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NA</w:t>
            </w:r>
          </w:p>
        </w:tc>
      </w:tr>
    </w:tbl>
    <w:p w:rsidR="00990A06" w:rsidRPr="000A07A4" w:rsidRDefault="00990A06" w:rsidP="00990A06">
      <w:pPr>
        <w:jc w:val="both"/>
        <w:rPr>
          <w:rFonts w:ascii="Arial" w:hAnsi="Arial" w:cs="Arial"/>
          <w:sz w:val="24"/>
          <w:szCs w:val="24"/>
        </w:rPr>
      </w:pPr>
    </w:p>
    <w:p w:rsidR="00852C5F" w:rsidRPr="000A07A4" w:rsidRDefault="00990A06" w:rsidP="000A07A4">
      <w:pPr>
        <w:spacing w:line="240" w:lineRule="auto"/>
        <w:jc w:val="both"/>
        <w:rPr>
          <w:rFonts w:ascii="Arial" w:hAnsi="Arial" w:cs="Arial"/>
          <w:sz w:val="24"/>
          <w:szCs w:val="24"/>
        </w:rPr>
      </w:pPr>
      <w:r w:rsidRPr="000A07A4">
        <w:rPr>
          <w:rFonts w:ascii="Arial" w:hAnsi="Arial" w:cs="Arial"/>
          <w:sz w:val="24"/>
          <w:szCs w:val="24"/>
        </w:rPr>
        <w:t xml:space="preserve">En el aplicativo SINERGIA, existen </w:t>
      </w:r>
      <w:r w:rsidR="00CD7930" w:rsidRPr="000A07A4">
        <w:rPr>
          <w:rFonts w:ascii="Arial" w:hAnsi="Arial" w:cs="Arial"/>
          <w:sz w:val="24"/>
          <w:szCs w:val="24"/>
        </w:rPr>
        <w:t>tres (</w:t>
      </w:r>
      <w:r w:rsidRPr="000A07A4">
        <w:rPr>
          <w:rFonts w:ascii="Arial" w:hAnsi="Arial" w:cs="Arial"/>
          <w:sz w:val="24"/>
          <w:szCs w:val="24"/>
        </w:rPr>
        <w:t>3</w:t>
      </w:r>
      <w:r w:rsidR="00CD7930" w:rsidRPr="000A07A4">
        <w:rPr>
          <w:rFonts w:ascii="Arial" w:hAnsi="Arial" w:cs="Arial"/>
          <w:sz w:val="24"/>
          <w:szCs w:val="24"/>
        </w:rPr>
        <w:t>)</w:t>
      </w:r>
      <w:r w:rsidRPr="000A07A4">
        <w:rPr>
          <w:rFonts w:ascii="Arial" w:hAnsi="Arial" w:cs="Arial"/>
          <w:sz w:val="24"/>
          <w:szCs w:val="24"/>
        </w:rPr>
        <w:t xml:space="preserve"> indicadores dirigidos a grupos étnicos y que pueden ser consultados por la ciudadanía en la plataforma. De los tres</w:t>
      </w:r>
      <w:r w:rsidR="00CD7930" w:rsidRPr="000A07A4">
        <w:rPr>
          <w:rFonts w:ascii="Arial" w:hAnsi="Arial" w:cs="Arial"/>
          <w:sz w:val="24"/>
          <w:szCs w:val="24"/>
        </w:rPr>
        <w:t xml:space="preserve"> (3)</w:t>
      </w:r>
      <w:r w:rsidRPr="000A07A4">
        <w:rPr>
          <w:rFonts w:ascii="Arial" w:hAnsi="Arial" w:cs="Arial"/>
          <w:sz w:val="24"/>
          <w:szCs w:val="24"/>
        </w:rPr>
        <w:t xml:space="preserve"> indicadores, </w:t>
      </w:r>
      <w:r w:rsidR="00852C5F" w:rsidRPr="000A07A4">
        <w:rPr>
          <w:rFonts w:ascii="Arial" w:hAnsi="Arial" w:cs="Arial"/>
          <w:sz w:val="24"/>
          <w:szCs w:val="24"/>
        </w:rPr>
        <w:t>dos</w:t>
      </w:r>
      <w:r w:rsidR="00CD7930" w:rsidRPr="000A07A4">
        <w:rPr>
          <w:rFonts w:ascii="Arial" w:hAnsi="Arial" w:cs="Arial"/>
          <w:sz w:val="24"/>
          <w:szCs w:val="24"/>
        </w:rPr>
        <w:t xml:space="preserve"> (2)</w:t>
      </w:r>
      <w:r w:rsidRPr="000A07A4">
        <w:rPr>
          <w:rFonts w:ascii="Arial" w:hAnsi="Arial" w:cs="Arial"/>
          <w:sz w:val="24"/>
          <w:szCs w:val="24"/>
        </w:rPr>
        <w:t xml:space="preserve"> no cuentan con meta establecida para el cuatrienio, </w:t>
      </w:r>
      <w:r w:rsidR="00852C5F" w:rsidRPr="000A07A4">
        <w:rPr>
          <w:rFonts w:ascii="Arial" w:hAnsi="Arial" w:cs="Arial"/>
          <w:sz w:val="24"/>
          <w:szCs w:val="24"/>
        </w:rPr>
        <w:t xml:space="preserve">debido a </w:t>
      </w:r>
      <w:r w:rsidR="00852C5F" w:rsidRPr="000A07A4">
        <w:rPr>
          <w:rFonts w:ascii="Arial" w:hAnsi="Arial" w:cs="Arial"/>
          <w:sz w:val="24"/>
          <w:szCs w:val="24"/>
        </w:rPr>
        <w:lastRenderedPageBreak/>
        <w:t>que son indicadores por demanda</w:t>
      </w:r>
      <w:r w:rsidR="006F4F5B" w:rsidRPr="000A07A4">
        <w:rPr>
          <w:rFonts w:ascii="Arial" w:hAnsi="Arial" w:cs="Arial"/>
          <w:sz w:val="24"/>
          <w:szCs w:val="24"/>
        </w:rPr>
        <w:t>,</w:t>
      </w:r>
      <w:r w:rsidR="00852C5F" w:rsidRPr="000A07A4">
        <w:rPr>
          <w:rFonts w:ascii="Arial" w:hAnsi="Arial" w:cs="Arial"/>
          <w:sz w:val="24"/>
          <w:szCs w:val="24"/>
        </w:rPr>
        <w:t xml:space="preserve"> </w:t>
      </w:r>
      <w:r w:rsidR="006F4F5B" w:rsidRPr="000A07A4">
        <w:rPr>
          <w:rFonts w:ascii="Arial" w:hAnsi="Arial" w:cs="Arial"/>
          <w:sz w:val="24"/>
          <w:szCs w:val="24"/>
        </w:rPr>
        <w:t>es por esto que,</w:t>
      </w:r>
      <w:r w:rsidRPr="000A07A4">
        <w:rPr>
          <w:rFonts w:ascii="Arial" w:hAnsi="Arial" w:cs="Arial"/>
          <w:sz w:val="24"/>
          <w:szCs w:val="24"/>
        </w:rPr>
        <w:t xml:space="preserve"> no se presenta información de cumplimiento de meta porcentual</w:t>
      </w:r>
      <w:r w:rsidR="006F4F5B" w:rsidRPr="000A07A4">
        <w:rPr>
          <w:rFonts w:ascii="Arial" w:hAnsi="Arial" w:cs="Arial"/>
          <w:sz w:val="24"/>
          <w:szCs w:val="24"/>
        </w:rPr>
        <w:t>, pero</w:t>
      </w:r>
      <w:r w:rsidRPr="000A07A4">
        <w:rPr>
          <w:rFonts w:ascii="Arial" w:hAnsi="Arial" w:cs="Arial"/>
          <w:sz w:val="24"/>
          <w:szCs w:val="24"/>
        </w:rPr>
        <w:t xml:space="preserve"> se presenta la información </w:t>
      </w:r>
      <w:r w:rsidR="006F4F5B" w:rsidRPr="000A07A4">
        <w:rPr>
          <w:rFonts w:ascii="Arial" w:hAnsi="Arial" w:cs="Arial"/>
          <w:sz w:val="24"/>
          <w:szCs w:val="24"/>
        </w:rPr>
        <w:t>a corte 31 de diciembre de 2018. El Ministerio de Cultura logró</w:t>
      </w:r>
      <w:r w:rsidRPr="000A07A4">
        <w:rPr>
          <w:rFonts w:ascii="Arial" w:hAnsi="Arial" w:cs="Arial"/>
          <w:sz w:val="24"/>
          <w:szCs w:val="24"/>
        </w:rPr>
        <w:t xml:space="preserve"> beneficiar a 1.238 </w:t>
      </w:r>
      <w:r w:rsidR="00852C5F" w:rsidRPr="000A07A4">
        <w:rPr>
          <w:rFonts w:ascii="Arial" w:hAnsi="Arial" w:cs="Arial"/>
          <w:sz w:val="24"/>
          <w:szCs w:val="24"/>
        </w:rPr>
        <w:t>personas con</w:t>
      </w:r>
      <w:r w:rsidRPr="000A07A4">
        <w:rPr>
          <w:rFonts w:ascii="Arial" w:hAnsi="Arial" w:cs="Arial"/>
          <w:sz w:val="24"/>
          <w:szCs w:val="24"/>
        </w:rPr>
        <w:t xml:space="preserve"> procesos formativos – pedagógicos para la transmisión de la lengua</w:t>
      </w:r>
      <w:r w:rsidR="00852C5F" w:rsidRPr="000A07A4">
        <w:rPr>
          <w:rFonts w:ascii="Arial" w:hAnsi="Arial" w:cs="Arial"/>
          <w:sz w:val="24"/>
          <w:szCs w:val="24"/>
        </w:rPr>
        <w:t>, actividades desarrollada</w:t>
      </w:r>
      <w:r w:rsidRPr="000A07A4">
        <w:rPr>
          <w:rFonts w:ascii="Arial" w:hAnsi="Arial" w:cs="Arial"/>
          <w:sz w:val="24"/>
          <w:szCs w:val="24"/>
        </w:rPr>
        <w:t>s por la</w:t>
      </w:r>
      <w:r w:rsidR="00852C5F" w:rsidRPr="000A07A4">
        <w:rPr>
          <w:rFonts w:ascii="Arial" w:hAnsi="Arial" w:cs="Arial"/>
          <w:sz w:val="24"/>
          <w:szCs w:val="24"/>
        </w:rPr>
        <w:t>s</w:t>
      </w:r>
      <w:r w:rsidRPr="000A07A4">
        <w:rPr>
          <w:rFonts w:ascii="Arial" w:hAnsi="Arial" w:cs="Arial"/>
          <w:sz w:val="24"/>
          <w:szCs w:val="24"/>
        </w:rPr>
        <w:t xml:space="preserve"> </w:t>
      </w:r>
      <w:proofErr w:type="spellStart"/>
      <w:r w:rsidRPr="000A07A4">
        <w:rPr>
          <w:rFonts w:ascii="Arial" w:hAnsi="Arial" w:cs="Arial"/>
          <w:sz w:val="24"/>
          <w:szCs w:val="24"/>
        </w:rPr>
        <w:t>Kumpañys</w:t>
      </w:r>
      <w:proofErr w:type="spellEnd"/>
      <w:r w:rsidRPr="000A07A4">
        <w:rPr>
          <w:rFonts w:ascii="Arial" w:hAnsi="Arial" w:cs="Arial"/>
          <w:sz w:val="24"/>
          <w:szCs w:val="24"/>
        </w:rPr>
        <w:t xml:space="preserve">. </w:t>
      </w:r>
    </w:p>
    <w:p w:rsidR="00990A06" w:rsidRPr="000A07A4" w:rsidRDefault="00990A06" w:rsidP="000A07A4">
      <w:pPr>
        <w:spacing w:line="240" w:lineRule="auto"/>
        <w:jc w:val="both"/>
        <w:rPr>
          <w:rFonts w:ascii="Arial" w:hAnsi="Arial" w:cs="Arial"/>
          <w:sz w:val="24"/>
          <w:szCs w:val="24"/>
        </w:rPr>
      </w:pPr>
      <w:r w:rsidRPr="000A07A4">
        <w:rPr>
          <w:rFonts w:ascii="Arial" w:hAnsi="Arial" w:cs="Arial"/>
          <w:sz w:val="24"/>
          <w:szCs w:val="24"/>
        </w:rPr>
        <w:t xml:space="preserve">Así mismo, se logró </w:t>
      </w:r>
      <w:r w:rsidR="00852C5F" w:rsidRPr="000A07A4">
        <w:rPr>
          <w:rFonts w:ascii="Arial" w:hAnsi="Arial" w:cs="Arial"/>
          <w:sz w:val="24"/>
          <w:szCs w:val="24"/>
        </w:rPr>
        <w:t xml:space="preserve">que las </w:t>
      </w:r>
      <w:proofErr w:type="spellStart"/>
      <w:r w:rsidR="00852C5F" w:rsidRPr="000A07A4">
        <w:rPr>
          <w:rFonts w:ascii="Arial" w:hAnsi="Arial" w:cs="Arial"/>
          <w:sz w:val="24"/>
          <w:szCs w:val="24"/>
        </w:rPr>
        <w:t>Kumpañys</w:t>
      </w:r>
      <w:proofErr w:type="spellEnd"/>
      <w:r w:rsidR="00852C5F" w:rsidRPr="000A07A4">
        <w:rPr>
          <w:rFonts w:ascii="Arial" w:hAnsi="Arial" w:cs="Arial"/>
          <w:sz w:val="24"/>
          <w:szCs w:val="24"/>
        </w:rPr>
        <w:t xml:space="preserve"> presentaran </w:t>
      </w:r>
      <w:r w:rsidRPr="000A07A4">
        <w:rPr>
          <w:rFonts w:ascii="Arial" w:hAnsi="Arial" w:cs="Arial"/>
          <w:sz w:val="24"/>
          <w:szCs w:val="24"/>
        </w:rPr>
        <w:t xml:space="preserve">23 proyectos </w:t>
      </w:r>
      <w:r w:rsidR="00852C5F" w:rsidRPr="000A07A4">
        <w:rPr>
          <w:rFonts w:ascii="Arial" w:hAnsi="Arial" w:cs="Arial"/>
          <w:sz w:val="24"/>
          <w:szCs w:val="24"/>
        </w:rPr>
        <w:t xml:space="preserve">ante el Ministerio de Cultura para el fortalecimiento y </w:t>
      </w:r>
      <w:proofErr w:type="spellStart"/>
      <w:r w:rsidR="00852C5F" w:rsidRPr="000A07A4">
        <w:rPr>
          <w:rFonts w:ascii="Arial" w:hAnsi="Arial" w:cs="Arial"/>
          <w:sz w:val="24"/>
          <w:szCs w:val="24"/>
        </w:rPr>
        <w:t>visibilización</w:t>
      </w:r>
      <w:proofErr w:type="spellEnd"/>
      <w:r w:rsidR="00852C5F" w:rsidRPr="000A07A4">
        <w:rPr>
          <w:rFonts w:ascii="Arial" w:hAnsi="Arial" w:cs="Arial"/>
          <w:sz w:val="24"/>
          <w:szCs w:val="24"/>
        </w:rPr>
        <w:t xml:space="preserve"> de la identidad cultural del Pueblo Gitano; dichos proyectos fueron apoyados de forma técnica y financiera. </w:t>
      </w:r>
    </w:p>
    <w:p w:rsidR="00990A06" w:rsidRPr="000A07A4" w:rsidRDefault="006F4F5B" w:rsidP="000A07A4">
      <w:pPr>
        <w:spacing w:line="240" w:lineRule="auto"/>
        <w:jc w:val="both"/>
        <w:rPr>
          <w:rFonts w:ascii="Arial" w:hAnsi="Arial" w:cs="Arial"/>
          <w:sz w:val="24"/>
          <w:szCs w:val="24"/>
        </w:rPr>
      </w:pPr>
      <w:r w:rsidRPr="000A07A4">
        <w:rPr>
          <w:rFonts w:ascii="Arial" w:hAnsi="Arial" w:cs="Arial"/>
          <w:sz w:val="24"/>
          <w:szCs w:val="24"/>
        </w:rPr>
        <w:t xml:space="preserve">En cuanto al indicador  de </w:t>
      </w:r>
      <w:proofErr w:type="spellStart"/>
      <w:r w:rsidR="00990A06" w:rsidRPr="000A07A4">
        <w:rPr>
          <w:rFonts w:ascii="Arial" w:hAnsi="Arial" w:cs="Arial"/>
          <w:sz w:val="24"/>
          <w:szCs w:val="24"/>
        </w:rPr>
        <w:t>Kumpañy</w:t>
      </w:r>
      <w:r w:rsidRPr="000A07A4">
        <w:rPr>
          <w:rFonts w:ascii="Arial" w:hAnsi="Arial" w:cs="Arial"/>
          <w:sz w:val="24"/>
          <w:szCs w:val="24"/>
        </w:rPr>
        <w:t>s</w:t>
      </w:r>
      <w:proofErr w:type="spellEnd"/>
      <w:r w:rsidR="00990A06" w:rsidRPr="000A07A4">
        <w:rPr>
          <w:rFonts w:ascii="Arial" w:hAnsi="Arial" w:cs="Arial"/>
          <w:sz w:val="24"/>
          <w:szCs w:val="24"/>
        </w:rPr>
        <w:t xml:space="preserve"> beneficiadas con procesos formativos - pedagógicos para la trasmisión de la lengua</w:t>
      </w:r>
      <w:r w:rsidR="006D78FA" w:rsidRPr="000A07A4">
        <w:rPr>
          <w:rFonts w:ascii="Arial" w:hAnsi="Arial" w:cs="Arial"/>
          <w:sz w:val="24"/>
          <w:szCs w:val="24"/>
        </w:rPr>
        <w:t xml:space="preserve">, </w:t>
      </w:r>
      <w:r w:rsidR="00CD7930" w:rsidRPr="000A07A4">
        <w:rPr>
          <w:rFonts w:ascii="Arial" w:hAnsi="Arial" w:cs="Arial"/>
          <w:sz w:val="24"/>
          <w:szCs w:val="24"/>
        </w:rPr>
        <w:t xml:space="preserve">se logró beneficiar al 100% de las </w:t>
      </w:r>
      <w:proofErr w:type="spellStart"/>
      <w:r w:rsidR="00CD7930" w:rsidRPr="000A07A4">
        <w:rPr>
          <w:rFonts w:ascii="Arial" w:hAnsi="Arial" w:cs="Arial"/>
          <w:sz w:val="24"/>
          <w:szCs w:val="24"/>
        </w:rPr>
        <w:t>Kumpañys</w:t>
      </w:r>
      <w:proofErr w:type="spellEnd"/>
      <w:r w:rsidR="00CD7930" w:rsidRPr="000A07A4">
        <w:rPr>
          <w:rFonts w:ascii="Arial" w:hAnsi="Arial" w:cs="Arial"/>
          <w:sz w:val="24"/>
          <w:szCs w:val="24"/>
        </w:rPr>
        <w:t xml:space="preserve"> en cada año del gobierno 2014-2018, beneficiando así a las</w:t>
      </w:r>
      <w:r w:rsidR="00990A06" w:rsidRPr="000A07A4">
        <w:rPr>
          <w:rFonts w:ascii="Arial" w:hAnsi="Arial" w:cs="Arial"/>
          <w:sz w:val="24"/>
          <w:szCs w:val="24"/>
        </w:rPr>
        <w:t xml:space="preserve">11 </w:t>
      </w:r>
      <w:proofErr w:type="spellStart"/>
      <w:r w:rsidR="00990A06" w:rsidRPr="000A07A4">
        <w:rPr>
          <w:rFonts w:ascii="Arial" w:hAnsi="Arial" w:cs="Arial"/>
          <w:sz w:val="24"/>
          <w:szCs w:val="24"/>
        </w:rPr>
        <w:t>Kumpañy</w:t>
      </w:r>
      <w:r w:rsidR="00CD7930" w:rsidRPr="000A07A4">
        <w:rPr>
          <w:rFonts w:ascii="Arial" w:hAnsi="Arial" w:cs="Arial"/>
          <w:sz w:val="24"/>
          <w:szCs w:val="24"/>
        </w:rPr>
        <w:t>s</w:t>
      </w:r>
      <w:proofErr w:type="spellEnd"/>
      <w:r w:rsidR="00CD7930" w:rsidRPr="000A07A4">
        <w:rPr>
          <w:rFonts w:ascii="Arial" w:hAnsi="Arial" w:cs="Arial"/>
          <w:sz w:val="24"/>
          <w:szCs w:val="24"/>
        </w:rPr>
        <w:t xml:space="preserve"> registradas.</w:t>
      </w:r>
    </w:p>
    <w:p w:rsidR="00990A06" w:rsidRPr="000A07A4" w:rsidRDefault="00CD7930" w:rsidP="000A07A4">
      <w:pPr>
        <w:spacing w:line="240" w:lineRule="auto"/>
        <w:jc w:val="both"/>
        <w:rPr>
          <w:rFonts w:ascii="Arial" w:hAnsi="Arial" w:cs="Arial"/>
          <w:sz w:val="24"/>
          <w:szCs w:val="24"/>
        </w:rPr>
      </w:pPr>
      <w:r w:rsidRPr="000A07A4">
        <w:rPr>
          <w:rFonts w:ascii="Arial" w:hAnsi="Arial" w:cs="Arial"/>
          <w:sz w:val="24"/>
          <w:szCs w:val="24"/>
        </w:rPr>
        <w:t xml:space="preserve">Por otra parte, </w:t>
      </w:r>
      <w:r w:rsidR="00990A06" w:rsidRPr="000A07A4">
        <w:rPr>
          <w:rFonts w:ascii="Arial" w:hAnsi="Arial" w:cs="Arial"/>
          <w:sz w:val="24"/>
          <w:szCs w:val="24"/>
        </w:rPr>
        <w:t xml:space="preserve">se </w:t>
      </w:r>
      <w:r w:rsidRPr="000A07A4">
        <w:rPr>
          <w:rFonts w:ascii="Arial" w:hAnsi="Arial" w:cs="Arial"/>
          <w:sz w:val="24"/>
          <w:szCs w:val="24"/>
        </w:rPr>
        <w:t>cuenta con</w:t>
      </w:r>
      <w:r w:rsidR="00990A06" w:rsidRPr="000A07A4">
        <w:rPr>
          <w:rFonts w:ascii="Arial" w:hAnsi="Arial" w:cs="Arial"/>
          <w:sz w:val="24"/>
          <w:szCs w:val="24"/>
        </w:rPr>
        <w:t xml:space="preserve"> cuatro (4) indicadores </w:t>
      </w:r>
      <w:r w:rsidRPr="000A07A4">
        <w:rPr>
          <w:rFonts w:ascii="Arial" w:hAnsi="Arial" w:cs="Arial"/>
          <w:sz w:val="24"/>
          <w:szCs w:val="24"/>
        </w:rPr>
        <w:t xml:space="preserve">dirigidos a grupos étnicos y que no se pueden visualizar y/o ser consultados por la ciudadanía en la plataforma, pero que esta cartera, ha reportado mes a mes el avance de estos. </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1"/>
        <w:gridCol w:w="711"/>
        <w:gridCol w:w="711"/>
        <w:gridCol w:w="711"/>
        <w:gridCol w:w="743"/>
        <w:gridCol w:w="885"/>
        <w:gridCol w:w="1138"/>
        <w:gridCol w:w="1399"/>
      </w:tblGrid>
      <w:tr w:rsidR="00C759EA" w:rsidRPr="00E259AE" w:rsidTr="00C759EA">
        <w:trPr>
          <w:trHeight w:val="675"/>
          <w:jc w:val="center"/>
        </w:trPr>
        <w:tc>
          <w:tcPr>
            <w:tcW w:w="1413" w:type="pct"/>
            <w:shd w:val="clear" w:color="auto" w:fill="auto"/>
            <w:vAlign w:val="center"/>
            <w:hideMark/>
          </w:tcPr>
          <w:p w:rsidR="00C759EA" w:rsidRPr="00E259AE" w:rsidRDefault="00C759EA" w:rsidP="00CE10B9">
            <w:pPr>
              <w:spacing w:after="0" w:line="240" w:lineRule="auto"/>
              <w:rPr>
                <w:rFonts w:ascii="Arial" w:eastAsia="Times New Roman" w:hAnsi="Arial" w:cs="Arial"/>
                <w:b/>
                <w:bCs/>
                <w:color w:val="083669"/>
                <w:sz w:val="18"/>
                <w:szCs w:val="18"/>
                <w:lang w:eastAsia="es-CO"/>
              </w:rPr>
            </w:pPr>
            <w:r w:rsidRPr="00E259AE">
              <w:rPr>
                <w:rFonts w:ascii="Arial" w:eastAsia="Times New Roman" w:hAnsi="Arial" w:cs="Arial"/>
                <w:b/>
                <w:bCs/>
                <w:color w:val="083669"/>
                <w:sz w:val="18"/>
                <w:szCs w:val="18"/>
                <w:lang w:eastAsia="es-CO"/>
              </w:rPr>
              <w:t>Grupos Étnicos</w:t>
            </w:r>
          </w:p>
        </w:tc>
        <w:tc>
          <w:tcPr>
            <w:tcW w:w="405"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Línea Base 2014</w:t>
            </w:r>
          </w:p>
        </w:tc>
        <w:tc>
          <w:tcPr>
            <w:tcW w:w="405"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2015</w:t>
            </w:r>
          </w:p>
        </w:tc>
        <w:tc>
          <w:tcPr>
            <w:tcW w:w="405"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2016</w:t>
            </w:r>
          </w:p>
        </w:tc>
        <w:tc>
          <w:tcPr>
            <w:tcW w:w="423"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2017</w:t>
            </w:r>
          </w:p>
        </w:tc>
        <w:tc>
          <w:tcPr>
            <w:tcW w:w="504"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Cierre 2018</w:t>
            </w:r>
            <w:r w:rsidRPr="00E259AE">
              <w:rPr>
                <w:rFonts w:ascii="Arial" w:eastAsia="Times New Roman" w:hAnsi="Arial" w:cs="Arial"/>
                <w:b/>
                <w:bCs/>
                <w:color w:val="1F497D"/>
                <w:sz w:val="18"/>
                <w:szCs w:val="18"/>
                <w:lang w:eastAsia="es-CO"/>
              </w:rPr>
              <w:br/>
              <w:t>(parcial)</w:t>
            </w:r>
          </w:p>
        </w:tc>
        <w:tc>
          <w:tcPr>
            <w:tcW w:w="648"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Meta cuatrienio</w:t>
            </w:r>
          </w:p>
        </w:tc>
        <w:tc>
          <w:tcPr>
            <w:tcW w:w="797" w:type="pct"/>
            <w:shd w:val="clear" w:color="auto" w:fill="auto"/>
            <w:vAlign w:val="center"/>
            <w:hideMark/>
          </w:tcPr>
          <w:p w:rsidR="00C759EA" w:rsidRPr="00E259AE" w:rsidRDefault="00C759EA" w:rsidP="00CE10B9">
            <w:pPr>
              <w:spacing w:after="0" w:line="240" w:lineRule="auto"/>
              <w:jc w:val="center"/>
              <w:rPr>
                <w:rFonts w:ascii="Arial" w:eastAsia="Times New Roman" w:hAnsi="Arial" w:cs="Arial"/>
                <w:b/>
                <w:bCs/>
                <w:color w:val="1F497D"/>
                <w:sz w:val="18"/>
                <w:szCs w:val="18"/>
                <w:lang w:eastAsia="es-CO"/>
              </w:rPr>
            </w:pPr>
            <w:r w:rsidRPr="00E259AE">
              <w:rPr>
                <w:rFonts w:ascii="Arial" w:eastAsia="Times New Roman" w:hAnsi="Arial" w:cs="Arial"/>
                <w:b/>
                <w:bCs/>
                <w:color w:val="1F497D"/>
                <w:sz w:val="18"/>
                <w:szCs w:val="18"/>
                <w:lang w:eastAsia="es-CO"/>
              </w:rPr>
              <w:t>Porcentaje de cumplimiento cuatrienio</w:t>
            </w:r>
          </w:p>
        </w:tc>
      </w:tr>
      <w:tr w:rsidR="00C759EA" w:rsidRPr="00E259AE" w:rsidTr="00C759EA">
        <w:trPr>
          <w:trHeight w:val="915"/>
          <w:jc w:val="center"/>
        </w:trPr>
        <w:tc>
          <w:tcPr>
            <w:tcW w:w="1413"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Pueblos indígenas beneficiados por el programa de revitalización y fortalecimiento del pensamiento mayor</w:t>
            </w:r>
          </w:p>
        </w:tc>
        <w:tc>
          <w:tcPr>
            <w:tcW w:w="405"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23"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504"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648"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797"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r>
      <w:tr w:rsidR="00C759EA" w:rsidRPr="00E259AE" w:rsidTr="00C759EA">
        <w:trPr>
          <w:trHeight w:val="1200"/>
          <w:jc w:val="center"/>
        </w:trPr>
        <w:tc>
          <w:tcPr>
            <w:tcW w:w="1413"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Proyectos para la promoción y el fortalecimiento de las festividades indígenas con proyección internacional financiados</w:t>
            </w:r>
          </w:p>
        </w:tc>
        <w:tc>
          <w:tcPr>
            <w:tcW w:w="405"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23"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504"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648"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797"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r>
      <w:tr w:rsidR="00C759EA" w:rsidRPr="00E259AE" w:rsidTr="00C759EA">
        <w:trPr>
          <w:trHeight w:val="615"/>
          <w:jc w:val="center"/>
        </w:trPr>
        <w:tc>
          <w:tcPr>
            <w:tcW w:w="1413" w:type="pct"/>
            <w:shd w:val="clear" w:color="auto" w:fill="auto"/>
            <w:vAlign w:val="center"/>
            <w:hideMark/>
          </w:tcPr>
          <w:p w:rsidR="00C759EA" w:rsidRPr="00E259AE" w:rsidRDefault="00C759EA" w:rsidP="00CE10B9">
            <w:pPr>
              <w:spacing w:after="0" w:line="240" w:lineRule="auto"/>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Plan Decenal de Lenguas Nativas consultado, concertado y formulado</w:t>
            </w:r>
            <w:r w:rsidR="00520BE6">
              <w:rPr>
                <w:rFonts w:ascii="Arial" w:eastAsia="Times New Roman" w:hAnsi="Arial" w:cs="Arial"/>
                <w:color w:val="000000"/>
                <w:sz w:val="18"/>
                <w:szCs w:val="18"/>
                <w:lang w:eastAsia="es-CO"/>
              </w:rPr>
              <w:t>*</w:t>
            </w:r>
          </w:p>
        </w:tc>
        <w:tc>
          <w:tcPr>
            <w:tcW w:w="405"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25</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25</w:t>
            </w:r>
          </w:p>
        </w:tc>
        <w:tc>
          <w:tcPr>
            <w:tcW w:w="423"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75</w:t>
            </w:r>
          </w:p>
        </w:tc>
        <w:tc>
          <w:tcPr>
            <w:tcW w:w="504" w:type="pct"/>
            <w:shd w:val="clear" w:color="auto" w:fill="auto"/>
            <w:vAlign w:val="center"/>
            <w:hideMark/>
          </w:tcPr>
          <w:p w:rsidR="00C759EA" w:rsidRPr="00E259AE" w:rsidRDefault="00053C03" w:rsidP="008847EB">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w:t>
            </w:r>
          </w:p>
        </w:tc>
        <w:tc>
          <w:tcPr>
            <w:tcW w:w="648"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797"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75%</w:t>
            </w:r>
          </w:p>
        </w:tc>
      </w:tr>
      <w:tr w:rsidR="00C759EA" w:rsidRPr="00E259AE" w:rsidTr="00C759EA">
        <w:trPr>
          <w:trHeight w:val="915"/>
          <w:jc w:val="center"/>
        </w:trPr>
        <w:tc>
          <w:tcPr>
            <w:tcW w:w="1413" w:type="pct"/>
            <w:shd w:val="clear" w:color="auto" w:fill="auto"/>
            <w:vAlign w:val="center"/>
            <w:hideMark/>
          </w:tcPr>
          <w:p w:rsidR="00C759EA" w:rsidRPr="00E259AE" w:rsidRDefault="00C759EA" w:rsidP="00CE10B9">
            <w:pPr>
              <w:spacing w:after="0" w:line="240" w:lineRule="auto"/>
              <w:rPr>
                <w:rFonts w:ascii="Arial" w:eastAsia="Times New Roman" w:hAnsi="Arial" w:cs="Arial"/>
                <w:sz w:val="18"/>
                <w:szCs w:val="18"/>
                <w:lang w:eastAsia="es-CO"/>
              </w:rPr>
            </w:pPr>
            <w:r w:rsidRPr="00E259AE">
              <w:rPr>
                <w:rFonts w:ascii="Arial" w:eastAsia="Times New Roman" w:hAnsi="Arial" w:cs="Arial"/>
                <w:sz w:val="18"/>
                <w:szCs w:val="18"/>
                <w:lang w:eastAsia="es-CO"/>
              </w:rPr>
              <w:t xml:space="preserve">Proyectos para el fortalecimiento y </w:t>
            </w:r>
            <w:proofErr w:type="spellStart"/>
            <w:r w:rsidRPr="00E259AE">
              <w:rPr>
                <w:rFonts w:ascii="Arial" w:eastAsia="Times New Roman" w:hAnsi="Arial" w:cs="Arial"/>
                <w:sz w:val="18"/>
                <w:szCs w:val="18"/>
                <w:lang w:eastAsia="es-CO"/>
              </w:rPr>
              <w:t>Visibilización</w:t>
            </w:r>
            <w:proofErr w:type="spellEnd"/>
            <w:r w:rsidRPr="00E259AE">
              <w:rPr>
                <w:rFonts w:ascii="Arial" w:eastAsia="Times New Roman" w:hAnsi="Arial" w:cs="Arial"/>
                <w:sz w:val="18"/>
                <w:szCs w:val="18"/>
                <w:lang w:eastAsia="es-CO"/>
              </w:rPr>
              <w:t xml:space="preserve"> de la identidad cultural de los pueblos indígenas financiados. </w:t>
            </w:r>
          </w:p>
        </w:tc>
        <w:tc>
          <w:tcPr>
            <w:tcW w:w="405"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p>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0</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w:t>
            </w:r>
          </w:p>
        </w:tc>
        <w:tc>
          <w:tcPr>
            <w:tcW w:w="405"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423" w:type="pct"/>
            <w:shd w:val="clear" w:color="auto" w:fill="auto"/>
            <w:noWrap/>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504"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100</w:t>
            </w:r>
          </w:p>
        </w:tc>
        <w:tc>
          <w:tcPr>
            <w:tcW w:w="648" w:type="pct"/>
            <w:shd w:val="clear" w:color="auto" w:fill="auto"/>
            <w:vAlign w:val="center"/>
            <w:hideMark/>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w:t>
            </w:r>
          </w:p>
        </w:tc>
        <w:tc>
          <w:tcPr>
            <w:tcW w:w="797" w:type="pct"/>
            <w:shd w:val="clear" w:color="auto" w:fill="auto"/>
            <w:vAlign w:val="center"/>
          </w:tcPr>
          <w:p w:rsidR="00C759EA" w:rsidRPr="00E259AE" w:rsidRDefault="00C759EA" w:rsidP="008847EB">
            <w:pPr>
              <w:spacing w:after="0" w:line="240" w:lineRule="auto"/>
              <w:jc w:val="center"/>
              <w:rPr>
                <w:rFonts w:ascii="Arial" w:eastAsia="Times New Roman" w:hAnsi="Arial" w:cs="Arial"/>
                <w:color w:val="000000"/>
                <w:sz w:val="18"/>
                <w:szCs w:val="18"/>
                <w:lang w:eastAsia="es-CO"/>
              </w:rPr>
            </w:pPr>
            <w:r w:rsidRPr="00E259AE">
              <w:rPr>
                <w:rFonts w:ascii="Arial" w:eastAsia="Times New Roman" w:hAnsi="Arial" w:cs="Arial"/>
                <w:color w:val="000000"/>
                <w:sz w:val="18"/>
                <w:szCs w:val="18"/>
                <w:lang w:eastAsia="es-CO"/>
              </w:rPr>
              <w:t>NA</w:t>
            </w:r>
          </w:p>
        </w:tc>
      </w:tr>
    </w:tbl>
    <w:p w:rsidR="00520BE6" w:rsidRPr="001C15B5" w:rsidRDefault="00520BE6" w:rsidP="00520BE6">
      <w:pPr>
        <w:jc w:val="both"/>
        <w:rPr>
          <w:rFonts w:ascii="Arial" w:hAnsi="Arial" w:cs="Arial"/>
          <w:sz w:val="16"/>
          <w:szCs w:val="16"/>
        </w:rPr>
      </w:pPr>
      <w:r w:rsidRPr="001C15B5">
        <w:rPr>
          <w:rFonts w:ascii="Arial" w:hAnsi="Arial" w:cs="Arial"/>
          <w:sz w:val="16"/>
          <w:szCs w:val="16"/>
        </w:rPr>
        <w:t>Nota * Pendiente cargue de información en el mes de febrero</w:t>
      </w:r>
    </w:p>
    <w:p w:rsidR="000A07A4" w:rsidRPr="000A07A4" w:rsidRDefault="00537B05" w:rsidP="000A07A4">
      <w:pPr>
        <w:spacing w:line="240" w:lineRule="auto"/>
        <w:jc w:val="both"/>
        <w:rPr>
          <w:rFonts w:ascii="Arial" w:hAnsi="Arial" w:cs="Arial"/>
          <w:sz w:val="24"/>
          <w:szCs w:val="24"/>
        </w:rPr>
      </w:pPr>
      <w:r w:rsidRPr="000A07A4">
        <w:rPr>
          <w:rFonts w:ascii="Arial" w:hAnsi="Arial" w:cs="Arial"/>
          <w:sz w:val="24"/>
          <w:szCs w:val="24"/>
        </w:rPr>
        <w:t>Como</w:t>
      </w:r>
      <w:r w:rsidR="008847EB" w:rsidRPr="000A07A4">
        <w:rPr>
          <w:rFonts w:ascii="Arial" w:hAnsi="Arial" w:cs="Arial"/>
          <w:sz w:val="24"/>
          <w:szCs w:val="24"/>
        </w:rPr>
        <w:t xml:space="preserve"> se evidencia en la matriz, los dos (2) primeros indicadores cumplieron con la meta establecida, alcanzando un avance porcentual de 100. En cuanto al indicador relacionado con el Plan Decenal de Lenguas Nativas, el avance correspondiente al cierre 2018 continuó en el 75%, sin embargo, por inconvenientes en la validación </w:t>
      </w:r>
      <w:r w:rsidR="003C0F2D" w:rsidRPr="000A07A4">
        <w:rPr>
          <w:rFonts w:ascii="Arial" w:hAnsi="Arial" w:cs="Arial"/>
          <w:sz w:val="24"/>
          <w:szCs w:val="24"/>
        </w:rPr>
        <w:t>de la información</w:t>
      </w:r>
      <w:r w:rsidR="008847EB" w:rsidRPr="000A07A4">
        <w:rPr>
          <w:rFonts w:ascii="Arial" w:hAnsi="Arial" w:cs="Arial"/>
          <w:sz w:val="24"/>
          <w:szCs w:val="24"/>
        </w:rPr>
        <w:t xml:space="preserve">, el </w:t>
      </w:r>
      <w:r w:rsidR="003C0F2D" w:rsidRPr="000A07A4">
        <w:rPr>
          <w:rFonts w:ascii="Arial" w:hAnsi="Arial" w:cs="Arial"/>
          <w:sz w:val="24"/>
          <w:szCs w:val="24"/>
        </w:rPr>
        <w:t>reporte</w:t>
      </w:r>
      <w:r w:rsidR="008847EB" w:rsidRPr="000A07A4">
        <w:rPr>
          <w:rFonts w:ascii="Arial" w:hAnsi="Arial" w:cs="Arial"/>
          <w:sz w:val="24"/>
          <w:szCs w:val="24"/>
        </w:rPr>
        <w:t xml:space="preserve"> </w:t>
      </w:r>
      <w:r w:rsidR="003C0F2D" w:rsidRPr="000A07A4">
        <w:rPr>
          <w:rFonts w:ascii="Arial" w:hAnsi="Arial" w:cs="Arial"/>
          <w:sz w:val="24"/>
          <w:szCs w:val="24"/>
        </w:rPr>
        <w:t>no quedó publicado</w:t>
      </w:r>
      <w:r w:rsidR="008847EB" w:rsidRPr="000A07A4">
        <w:rPr>
          <w:rFonts w:ascii="Arial" w:hAnsi="Arial" w:cs="Arial"/>
          <w:sz w:val="24"/>
          <w:szCs w:val="24"/>
        </w:rPr>
        <w:t xml:space="preserve"> y debe ser cargado los primero 10 días del mes de febrero. </w:t>
      </w:r>
      <w:r w:rsidR="000A07A4" w:rsidRPr="000A07A4">
        <w:rPr>
          <w:rFonts w:ascii="Arial" w:hAnsi="Arial" w:cs="Arial"/>
          <w:sz w:val="24"/>
          <w:szCs w:val="24"/>
        </w:rPr>
        <w:t xml:space="preserve">Es importante aclarar que el Plan Decenal de lenguas no puede llegar a implementarse hasta que el proceso de concertación con la Mesa Permanente de Concertación - MPC no se </w:t>
      </w:r>
      <w:r w:rsidR="000A07A4" w:rsidRPr="000A07A4">
        <w:rPr>
          <w:rFonts w:ascii="Arial" w:hAnsi="Arial" w:cs="Arial"/>
          <w:sz w:val="24"/>
          <w:szCs w:val="24"/>
        </w:rPr>
        <w:lastRenderedPageBreak/>
        <w:t xml:space="preserve">termine, es por esto que, se continuará con el proceso de concertación y protocolización en el presente periodo de Gobierno, de acuerdo a los compromisos establecidos con los Pueblos Indígenas en los espacios recientes de concertación. </w:t>
      </w:r>
    </w:p>
    <w:p w:rsidR="003C0F2D" w:rsidRPr="000A07A4" w:rsidRDefault="003C0F2D" w:rsidP="000A07A4">
      <w:pPr>
        <w:spacing w:line="240" w:lineRule="auto"/>
        <w:jc w:val="both"/>
        <w:rPr>
          <w:rFonts w:ascii="Arial" w:hAnsi="Arial" w:cs="Arial"/>
          <w:sz w:val="24"/>
          <w:szCs w:val="24"/>
        </w:rPr>
      </w:pPr>
      <w:r w:rsidRPr="000A07A4">
        <w:rPr>
          <w:rFonts w:ascii="Arial" w:hAnsi="Arial" w:cs="Arial"/>
          <w:sz w:val="24"/>
          <w:szCs w:val="24"/>
        </w:rPr>
        <w:t xml:space="preserve">Por último, el indicador relacionado con proyectos financiados para el fortalecimiento y </w:t>
      </w:r>
      <w:proofErr w:type="spellStart"/>
      <w:r w:rsidRPr="000A07A4">
        <w:rPr>
          <w:rFonts w:ascii="Arial" w:hAnsi="Arial" w:cs="Arial"/>
          <w:sz w:val="24"/>
          <w:szCs w:val="24"/>
        </w:rPr>
        <w:t>visibilización</w:t>
      </w:r>
      <w:proofErr w:type="spellEnd"/>
      <w:r w:rsidRPr="000A07A4">
        <w:rPr>
          <w:rFonts w:ascii="Arial" w:hAnsi="Arial" w:cs="Arial"/>
          <w:sz w:val="24"/>
          <w:szCs w:val="24"/>
        </w:rPr>
        <w:t xml:space="preserve"> de la identidad cultural de los pueblos indígenas, logró financiar 100 proyectos en el cuatrienio 2014-2018, sin embargo, este no cuenta con una meta establecida, debido a que es un indicador por demanda, en este orden de ideas no aplicaría el avance porcentual de cumplimiento. </w:t>
      </w:r>
    </w:p>
    <w:p w:rsidR="005C1B6D" w:rsidRDefault="005C1B6D" w:rsidP="00302AF0">
      <w:pPr>
        <w:rPr>
          <w:rFonts w:ascii="Arial" w:hAnsi="Arial" w:cs="Arial"/>
          <w:sz w:val="24"/>
          <w:szCs w:val="24"/>
        </w:rPr>
      </w:pPr>
    </w:p>
    <w:p w:rsidR="001F7C49" w:rsidRDefault="001F7C49" w:rsidP="00302AF0">
      <w:pPr>
        <w:rPr>
          <w:rFonts w:ascii="Arial" w:hAnsi="Arial" w:cs="Arial"/>
          <w:sz w:val="24"/>
          <w:szCs w:val="24"/>
        </w:rPr>
      </w:pPr>
    </w:p>
    <w:p w:rsidR="001F7C49" w:rsidRPr="000A07A4" w:rsidRDefault="001F7C49" w:rsidP="00302AF0">
      <w:pPr>
        <w:rPr>
          <w:rFonts w:ascii="Arial" w:hAnsi="Arial" w:cs="Arial"/>
          <w:sz w:val="24"/>
          <w:szCs w:val="24"/>
        </w:rPr>
      </w:pPr>
    </w:p>
    <w:sectPr w:rsidR="001F7C49" w:rsidRPr="000A07A4" w:rsidSect="00C73CE6">
      <w:headerReference w:type="default" r:id="rId10"/>
      <w:pgSz w:w="12240" w:h="15840"/>
      <w:pgMar w:top="2096" w:right="1701" w:bottom="1417"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B9" w:rsidRDefault="00CE10B9" w:rsidP="001529F7">
      <w:pPr>
        <w:spacing w:after="0" w:line="240" w:lineRule="auto"/>
      </w:pPr>
      <w:r>
        <w:separator/>
      </w:r>
    </w:p>
  </w:endnote>
  <w:endnote w:type="continuationSeparator" w:id="0">
    <w:p w:rsidR="00CE10B9" w:rsidRDefault="00CE10B9" w:rsidP="0015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B9" w:rsidRDefault="00CE10B9" w:rsidP="001529F7">
      <w:pPr>
        <w:spacing w:after="0" w:line="240" w:lineRule="auto"/>
      </w:pPr>
      <w:r>
        <w:separator/>
      </w:r>
    </w:p>
  </w:footnote>
  <w:footnote w:type="continuationSeparator" w:id="0">
    <w:p w:rsidR="00CE10B9" w:rsidRDefault="00CE10B9" w:rsidP="00152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B9" w:rsidRDefault="00CE10B9">
    <w:pPr>
      <w:pStyle w:val="Encabezado"/>
    </w:pPr>
    <w:r>
      <w:rPr>
        <w:noProof/>
        <w:lang w:eastAsia="es-CO"/>
      </w:rPr>
      <w:drawing>
        <wp:anchor distT="114300" distB="114300" distL="114300" distR="114300" simplePos="0" relativeHeight="251659264" behindDoc="0" locked="0" layoutInCell="1" hidden="0" allowOverlap="1" wp14:anchorId="0B5E6905" wp14:editId="3FEF8CAE">
          <wp:simplePos x="0" y="0"/>
          <wp:positionH relativeFrom="margin">
            <wp:posOffset>-313055</wp:posOffset>
          </wp:positionH>
          <wp:positionV relativeFrom="paragraph">
            <wp:posOffset>121920</wp:posOffset>
          </wp:positionV>
          <wp:extent cx="3416300" cy="680720"/>
          <wp:effectExtent l="0" t="0" r="0" b="508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16300" cy="6807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34C"/>
    <w:multiLevelType w:val="hybridMultilevel"/>
    <w:tmpl w:val="7196F7E6"/>
    <w:lvl w:ilvl="0" w:tplc="DB7802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EA23C8"/>
    <w:multiLevelType w:val="hybridMultilevel"/>
    <w:tmpl w:val="121881EE"/>
    <w:lvl w:ilvl="0" w:tplc="218E89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4D86FB0"/>
    <w:multiLevelType w:val="hybridMultilevel"/>
    <w:tmpl w:val="59A45120"/>
    <w:lvl w:ilvl="0" w:tplc="BD2CBC9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891490E"/>
    <w:multiLevelType w:val="hybridMultilevel"/>
    <w:tmpl w:val="AA82E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6E33C0"/>
    <w:multiLevelType w:val="hybridMultilevel"/>
    <w:tmpl w:val="523AD7DE"/>
    <w:lvl w:ilvl="0" w:tplc="218E89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67E091D"/>
    <w:multiLevelType w:val="hybridMultilevel"/>
    <w:tmpl w:val="523AD7DE"/>
    <w:lvl w:ilvl="0" w:tplc="218E89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707438"/>
    <w:multiLevelType w:val="hybridMultilevel"/>
    <w:tmpl w:val="33409C0A"/>
    <w:lvl w:ilvl="0" w:tplc="560C620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FFE096B"/>
    <w:multiLevelType w:val="hybridMultilevel"/>
    <w:tmpl w:val="3C6ED9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D7A58BA"/>
    <w:multiLevelType w:val="hybridMultilevel"/>
    <w:tmpl w:val="010EC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14C5C3C"/>
    <w:multiLevelType w:val="multilevel"/>
    <w:tmpl w:val="DF347B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BC6CC5"/>
    <w:multiLevelType w:val="hybridMultilevel"/>
    <w:tmpl w:val="68702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0"/>
  </w:num>
  <w:num w:numId="5">
    <w:abstractNumId w:val="2"/>
  </w:num>
  <w:num w:numId="6">
    <w:abstractNumId w:val="4"/>
  </w:num>
  <w:num w:numId="7">
    <w:abstractNumId w:val="5"/>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F7"/>
    <w:rsid w:val="000035ED"/>
    <w:rsid w:val="0000650A"/>
    <w:rsid w:val="00023E38"/>
    <w:rsid w:val="00044C9C"/>
    <w:rsid w:val="00047DA0"/>
    <w:rsid w:val="00053C03"/>
    <w:rsid w:val="00055DB2"/>
    <w:rsid w:val="00062E2F"/>
    <w:rsid w:val="00073704"/>
    <w:rsid w:val="00074C15"/>
    <w:rsid w:val="000855EE"/>
    <w:rsid w:val="000A07A4"/>
    <w:rsid w:val="000A1E01"/>
    <w:rsid w:val="000A5521"/>
    <w:rsid w:val="000A7D43"/>
    <w:rsid w:val="000C38F3"/>
    <w:rsid w:val="000D1859"/>
    <w:rsid w:val="000E12D1"/>
    <w:rsid w:val="000F26BE"/>
    <w:rsid w:val="0011171E"/>
    <w:rsid w:val="00115347"/>
    <w:rsid w:val="0011716F"/>
    <w:rsid w:val="001529F7"/>
    <w:rsid w:val="00163758"/>
    <w:rsid w:val="00175141"/>
    <w:rsid w:val="001871C7"/>
    <w:rsid w:val="001B0895"/>
    <w:rsid w:val="001C15B5"/>
    <w:rsid w:val="001F7C49"/>
    <w:rsid w:val="00210005"/>
    <w:rsid w:val="0021153D"/>
    <w:rsid w:val="0023393C"/>
    <w:rsid w:val="0023490A"/>
    <w:rsid w:val="00264115"/>
    <w:rsid w:val="00265DFC"/>
    <w:rsid w:val="002B5D15"/>
    <w:rsid w:val="002D4A1C"/>
    <w:rsid w:val="00302AF0"/>
    <w:rsid w:val="003222EE"/>
    <w:rsid w:val="00375584"/>
    <w:rsid w:val="00381950"/>
    <w:rsid w:val="003907D0"/>
    <w:rsid w:val="00397317"/>
    <w:rsid w:val="003A721B"/>
    <w:rsid w:val="003A723A"/>
    <w:rsid w:val="003B6109"/>
    <w:rsid w:val="003C0F2D"/>
    <w:rsid w:val="003C10F6"/>
    <w:rsid w:val="003D16E2"/>
    <w:rsid w:val="003D2048"/>
    <w:rsid w:val="003D7F95"/>
    <w:rsid w:val="003E5259"/>
    <w:rsid w:val="003E574A"/>
    <w:rsid w:val="00400B56"/>
    <w:rsid w:val="00401E6C"/>
    <w:rsid w:val="00414E65"/>
    <w:rsid w:val="0042156C"/>
    <w:rsid w:val="004222E9"/>
    <w:rsid w:val="004263C1"/>
    <w:rsid w:val="00427D5F"/>
    <w:rsid w:val="0043727B"/>
    <w:rsid w:val="00440558"/>
    <w:rsid w:val="004466C6"/>
    <w:rsid w:val="004703F9"/>
    <w:rsid w:val="00476DBD"/>
    <w:rsid w:val="00486738"/>
    <w:rsid w:val="004E42B5"/>
    <w:rsid w:val="00520BE6"/>
    <w:rsid w:val="0052683D"/>
    <w:rsid w:val="0053384B"/>
    <w:rsid w:val="0053510F"/>
    <w:rsid w:val="00536737"/>
    <w:rsid w:val="00537B05"/>
    <w:rsid w:val="005452A2"/>
    <w:rsid w:val="0054587E"/>
    <w:rsid w:val="00555788"/>
    <w:rsid w:val="00566E33"/>
    <w:rsid w:val="005702DC"/>
    <w:rsid w:val="005B2D1B"/>
    <w:rsid w:val="005C1B6D"/>
    <w:rsid w:val="005D5444"/>
    <w:rsid w:val="005E38FC"/>
    <w:rsid w:val="006002BE"/>
    <w:rsid w:val="006029CA"/>
    <w:rsid w:val="0060558A"/>
    <w:rsid w:val="00637C8B"/>
    <w:rsid w:val="0064166D"/>
    <w:rsid w:val="006425F4"/>
    <w:rsid w:val="00644B7A"/>
    <w:rsid w:val="00647628"/>
    <w:rsid w:val="00671E35"/>
    <w:rsid w:val="00674D9F"/>
    <w:rsid w:val="0067541E"/>
    <w:rsid w:val="00676D29"/>
    <w:rsid w:val="006865E7"/>
    <w:rsid w:val="006A43D5"/>
    <w:rsid w:val="006D5AF5"/>
    <w:rsid w:val="006D78FA"/>
    <w:rsid w:val="006E5D8F"/>
    <w:rsid w:val="006F4F5B"/>
    <w:rsid w:val="007064C6"/>
    <w:rsid w:val="0071130C"/>
    <w:rsid w:val="007140DD"/>
    <w:rsid w:val="00715053"/>
    <w:rsid w:val="00731A20"/>
    <w:rsid w:val="00767C94"/>
    <w:rsid w:val="007B2FBA"/>
    <w:rsid w:val="007C25E2"/>
    <w:rsid w:val="007E5185"/>
    <w:rsid w:val="007E7290"/>
    <w:rsid w:val="007F6EA7"/>
    <w:rsid w:val="007F7F83"/>
    <w:rsid w:val="008227F4"/>
    <w:rsid w:val="00834D55"/>
    <w:rsid w:val="00843CB1"/>
    <w:rsid w:val="00852C5F"/>
    <w:rsid w:val="0086550C"/>
    <w:rsid w:val="008847EB"/>
    <w:rsid w:val="00884DD4"/>
    <w:rsid w:val="00890378"/>
    <w:rsid w:val="00894E33"/>
    <w:rsid w:val="008C71AF"/>
    <w:rsid w:val="008D21C0"/>
    <w:rsid w:val="008E4664"/>
    <w:rsid w:val="0092335E"/>
    <w:rsid w:val="00935A0F"/>
    <w:rsid w:val="009607CA"/>
    <w:rsid w:val="00980778"/>
    <w:rsid w:val="00985535"/>
    <w:rsid w:val="00990A06"/>
    <w:rsid w:val="009C620B"/>
    <w:rsid w:val="009C7877"/>
    <w:rsid w:val="009D4972"/>
    <w:rsid w:val="009E2162"/>
    <w:rsid w:val="00A07AD3"/>
    <w:rsid w:val="00A17D1D"/>
    <w:rsid w:val="00A30383"/>
    <w:rsid w:val="00A57E81"/>
    <w:rsid w:val="00A62C1D"/>
    <w:rsid w:val="00A8361D"/>
    <w:rsid w:val="00A94C64"/>
    <w:rsid w:val="00AA3A69"/>
    <w:rsid w:val="00AB1628"/>
    <w:rsid w:val="00AB6621"/>
    <w:rsid w:val="00AD2816"/>
    <w:rsid w:val="00AF6179"/>
    <w:rsid w:val="00B3138F"/>
    <w:rsid w:val="00B37927"/>
    <w:rsid w:val="00B5454A"/>
    <w:rsid w:val="00B57AA6"/>
    <w:rsid w:val="00B662FF"/>
    <w:rsid w:val="00B812AE"/>
    <w:rsid w:val="00BA5D73"/>
    <w:rsid w:val="00BD1AF4"/>
    <w:rsid w:val="00BF0E75"/>
    <w:rsid w:val="00C1295E"/>
    <w:rsid w:val="00C266F4"/>
    <w:rsid w:val="00C73CE6"/>
    <w:rsid w:val="00C759EA"/>
    <w:rsid w:val="00C779AD"/>
    <w:rsid w:val="00C861E5"/>
    <w:rsid w:val="00C96BB4"/>
    <w:rsid w:val="00CA0FB8"/>
    <w:rsid w:val="00CB45BF"/>
    <w:rsid w:val="00CB778D"/>
    <w:rsid w:val="00CC1954"/>
    <w:rsid w:val="00CD2BA9"/>
    <w:rsid w:val="00CD7930"/>
    <w:rsid w:val="00CE10B9"/>
    <w:rsid w:val="00CE5D5C"/>
    <w:rsid w:val="00D02B85"/>
    <w:rsid w:val="00D447D3"/>
    <w:rsid w:val="00D53412"/>
    <w:rsid w:val="00D62331"/>
    <w:rsid w:val="00D656EC"/>
    <w:rsid w:val="00D926AD"/>
    <w:rsid w:val="00D9444A"/>
    <w:rsid w:val="00D94AF3"/>
    <w:rsid w:val="00DA2BB3"/>
    <w:rsid w:val="00DB2B50"/>
    <w:rsid w:val="00DB7F49"/>
    <w:rsid w:val="00DD7165"/>
    <w:rsid w:val="00DE0265"/>
    <w:rsid w:val="00DF4A80"/>
    <w:rsid w:val="00E14822"/>
    <w:rsid w:val="00E259AE"/>
    <w:rsid w:val="00E61DA1"/>
    <w:rsid w:val="00E7393E"/>
    <w:rsid w:val="00E802B3"/>
    <w:rsid w:val="00E8030C"/>
    <w:rsid w:val="00EA55AB"/>
    <w:rsid w:val="00EB33AC"/>
    <w:rsid w:val="00EB4D1A"/>
    <w:rsid w:val="00EC23C0"/>
    <w:rsid w:val="00ED07C8"/>
    <w:rsid w:val="00ED1CAE"/>
    <w:rsid w:val="00ED1EAC"/>
    <w:rsid w:val="00ED38B7"/>
    <w:rsid w:val="00EE1581"/>
    <w:rsid w:val="00F13DF6"/>
    <w:rsid w:val="00F230AB"/>
    <w:rsid w:val="00F81C6C"/>
    <w:rsid w:val="00F91740"/>
    <w:rsid w:val="00FC471D"/>
    <w:rsid w:val="00FD17A1"/>
    <w:rsid w:val="00FD7751"/>
    <w:rsid w:val="00FE7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6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D1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96BB4"/>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9F7"/>
  </w:style>
  <w:style w:type="paragraph" w:styleId="Piedepgina">
    <w:name w:val="footer"/>
    <w:basedOn w:val="Normal"/>
    <w:link w:val="PiedepginaCar"/>
    <w:uiPriority w:val="99"/>
    <w:unhideWhenUsed/>
    <w:rsid w:val="00152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9F7"/>
  </w:style>
  <w:style w:type="paragraph" w:styleId="Textodeglobo">
    <w:name w:val="Balloon Text"/>
    <w:basedOn w:val="Normal"/>
    <w:link w:val="TextodegloboCar"/>
    <w:uiPriority w:val="99"/>
    <w:semiHidden/>
    <w:unhideWhenUsed/>
    <w:rsid w:val="00401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E6C"/>
    <w:rPr>
      <w:rFonts w:ascii="Tahoma" w:hAnsi="Tahoma" w:cs="Tahoma"/>
      <w:sz w:val="16"/>
      <w:szCs w:val="16"/>
    </w:rPr>
  </w:style>
  <w:style w:type="character" w:customStyle="1" w:styleId="Ttulo1Car">
    <w:name w:val="Título 1 Car"/>
    <w:basedOn w:val="Fuentedeprrafopredeter"/>
    <w:link w:val="Ttulo1"/>
    <w:uiPriority w:val="9"/>
    <w:rsid w:val="009C620B"/>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C620B"/>
    <w:pPr>
      <w:outlineLvl w:val="9"/>
    </w:pPr>
    <w:rPr>
      <w:lang w:eastAsia="es-CO"/>
    </w:rPr>
  </w:style>
  <w:style w:type="paragraph" w:styleId="TDC1">
    <w:name w:val="toc 1"/>
    <w:basedOn w:val="Normal"/>
    <w:next w:val="Normal"/>
    <w:autoRedefine/>
    <w:uiPriority w:val="39"/>
    <w:unhideWhenUsed/>
    <w:rsid w:val="009C620B"/>
    <w:pPr>
      <w:spacing w:after="100"/>
    </w:pPr>
  </w:style>
  <w:style w:type="character" w:styleId="Hipervnculo">
    <w:name w:val="Hyperlink"/>
    <w:basedOn w:val="Fuentedeprrafopredeter"/>
    <w:uiPriority w:val="99"/>
    <w:unhideWhenUsed/>
    <w:rsid w:val="009C620B"/>
    <w:rPr>
      <w:color w:val="0000FF" w:themeColor="hyperlink"/>
      <w:u w:val="single"/>
    </w:rPr>
  </w:style>
  <w:style w:type="paragraph" w:styleId="Prrafodelista">
    <w:name w:val="List Paragraph"/>
    <w:basedOn w:val="Normal"/>
    <w:uiPriority w:val="34"/>
    <w:qFormat/>
    <w:rsid w:val="0086550C"/>
    <w:pPr>
      <w:ind w:left="720"/>
      <w:contextualSpacing/>
    </w:pPr>
  </w:style>
  <w:style w:type="character" w:styleId="nfasissutil">
    <w:name w:val="Subtle Emphasis"/>
    <w:basedOn w:val="Fuentedeprrafopredeter"/>
    <w:uiPriority w:val="19"/>
    <w:qFormat/>
    <w:rsid w:val="0086550C"/>
    <w:rPr>
      <w:i/>
      <w:iCs/>
      <w:color w:val="808080" w:themeColor="text1" w:themeTint="7F"/>
    </w:rPr>
  </w:style>
  <w:style w:type="character" w:customStyle="1" w:styleId="Ttulo2Car">
    <w:name w:val="Título 2 Car"/>
    <w:basedOn w:val="Fuentedeprrafopredeter"/>
    <w:link w:val="Ttulo2"/>
    <w:uiPriority w:val="9"/>
    <w:rsid w:val="00FD17A1"/>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FD17A1"/>
    <w:pPr>
      <w:spacing w:after="100"/>
      <w:ind w:left="220"/>
    </w:pPr>
  </w:style>
  <w:style w:type="character" w:customStyle="1" w:styleId="Ttulo3Car">
    <w:name w:val="Título 3 Car"/>
    <w:basedOn w:val="Fuentedeprrafopredeter"/>
    <w:link w:val="Ttulo3"/>
    <w:uiPriority w:val="9"/>
    <w:rsid w:val="00C96BB4"/>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C96BB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6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D1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96BB4"/>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9F7"/>
  </w:style>
  <w:style w:type="paragraph" w:styleId="Piedepgina">
    <w:name w:val="footer"/>
    <w:basedOn w:val="Normal"/>
    <w:link w:val="PiedepginaCar"/>
    <w:uiPriority w:val="99"/>
    <w:unhideWhenUsed/>
    <w:rsid w:val="00152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9F7"/>
  </w:style>
  <w:style w:type="paragraph" w:styleId="Textodeglobo">
    <w:name w:val="Balloon Text"/>
    <w:basedOn w:val="Normal"/>
    <w:link w:val="TextodegloboCar"/>
    <w:uiPriority w:val="99"/>
    <w:semiHidden/>
    <w:unhideWhenUsed/>
    <w:rsid w:val="00401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E6C"/>
    <w:rPr>
      <w:rFonts w:ascii="Tahoma" w:hAnsi="Tahoma" w:cs="Tahoma"/>
      <w:sz w:val="16"/>
      <w:szCs w:val="16"/>
    </w:rPr>
  </w:style>
  <w:style w:type="character" w:customStyle="1" w:styleId="Ttulo1Car">
    <w:name w:val="Título 1 Car"/>
    <w:basedOn w:val="Fuentedeprrafopredeter"/>
    <w:link w:val="Ttulo1"/>
    <w:uiPriority w:val="9"/>
    <w:rsid w:val="009C620B"/>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C620B"/>
    <w:pPr>
      <w:outlineLvl w:val="9"/>
    </w:pPr>
    <w:rPr>
      <w:lang w:eastAsia="es-CO"/>
    </w:rPr>
  </w:style>
  <w:style w:type="paragraph" w:styleId="TDC1">
    <w:name w:val="toc 1"/>
    <w:basedOn w:val="Normal"/>
    <w:next w:val="Normal"/>
    <w:autoRedefine/>
    <w:uiPriority w:val="39"/>
    <w:unhideWhenUsed/>
    <w:rsid w:val="009C620B"/>
    <w:pPr>
      <w:spacing w:after="100"/>
    </w:pPr>
  </w:style>
  <w:style w:type="character" w:styleId="Hipervnculo">
    <w:name w:val="Hyperlink"/>
    <w:basedOn w:val="Fuentedeprrafopredeter"/>
    <w:uiPriority w:val="99"/>
    <w:unhideWhenUsed/>
    <w:rsid w:val="009C620B"/>
    <w:rPr>
      <w:color w:val="0000FF" w:themeColor="hyperlink"/>
      <w:u w:val="single"/>
    </w:rPr>
  </w:style>
  <w:style w:type="paragraph" w:styleId="Prrafodelista">
    <w:name w:val="List Paragraph"/>
    <w:basedOn w:val="Normal"/>
    <w:uiPriority w:val="34"/>
    <w:qFormat/>
    <w:rsid w:val="0086550C"/>
    <w:pPr>
      <w:ind w:left="720"/>
      <w:contextualSpacing/>
    </w:pPr>
  </w:style>
  <w:style w:type="character" w:styleId="nfasissutil">
    <w:name w:val="Subtle Emphasis"/>
    <w:basedOn w:val="Fuentedeprrafopredeter"/>
    <w:uiPriority w:val="19"/>
    <w:qFormat/>
    <w:rsid w:val="0086550C"/>
    <w:rPr>
      <w:i/>
      <w:iCs/>
      <w:color w:val="808080" w:themeColor="text1" w:themeTint="7F"/>
    </w:rPr>
  </w:style>
  <w:style w:type="character" w:customStyle="1" w:styleId="Ttulo2Car">
    <w:name w:val="Título 2 Car"/>
    <w:basedOn w:val="Fuentedeprrafopredeter"/>
    <w:link w:val="Ttulo2"/>
    <w:uiPriority w:val="9"/>
    <w:rsid w:val="00FD17A1"/>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FD17A1"/>
    <w:pPr>
      <w:spacing w:after="100"/>
      <w:ind w:left="220"/>
    </w:pPr>
  </w:style>
  <w:style w:type="character" w:customStyle="1" w:styleId="Ttulo3Car">
    <w:name w:val="Título 3 Car"/>
    <w:basedOn w:val="Fuentedeprrafopredeter"/>
    <w:link w:val="Ttulo3"/>
    <w:uiPriority w:val="9"/>
    <w:rsid w:val="00C96BB4"/>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C96B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792">
      <w:bodyDiv w:val="1"/>
      <w:marLeft w:val="0"/>
      <w:marRight w:val="0"/>
      <w:marTop w:val="0"/>
      <w:marBottom w:val="0"/>
      <w:divBdr>
        <w:top w:val="none" w:sz="0" w:space="0" w:color="auto"/>
        <w:left w:val="none" w:sz="0" w:space="0" w:color="auto"/>
        <w:bottom w:val="none" w:sz="0" w:space="0" w:color="auto"/>
        <w:right w:val="none" w:sz="0" w:space="0" w:color="auto"/>
      </w:divBdr>
    </w:div>
    <w:div w:id="238289716">
      <w:bodyDiv w:val="1"/>
      <w:marLeft w:val="0"/>
      <w:marRight w:val="0"/>
      <w:marTop w:val="0"/>
      <w:marBottom w:val="0"/>
      <w:divBdr>
        <w:top w:val="none" w:sz="0" w:space="0" w:color="auto"/>
        <w:left w:val="none" w:sz="0" w:space="0" w:color="auto"/>
        <w:bottom w:val="none" w:sz="0" w:space="0" w:color="auto"/>
        <w:right w:val="none" w:sz="0" w:space="0" w:color="auto"/>
      </w:divBdr>
    </w:div>
    <w:div w:id="543249438">
      <w:bodyDiv w:val="1"/>
      <w:marLeft w:val="0"/>
      <w:marRight w:val="0"/>
      <w:marTop w:val="0"/>
      <w:marBottom w:val="0"/>
      <w:divBdr>
        <w:top w:val="none" w:sz="0" w:space="0" w:color="auto"/>
        <w:left w:val="none" w:sz="0" w:space="0" w:color="auto"/>
        <w:bottom w:val="none" w:sz="0" w:space="0" w:color="auto"/>
        <w:right w:val="none" w:sz="0" w:space="0" w:color="auto"/>
      </w:divBdr>
    </w:div>
    <w:div w:id="777021218">
      <w:bodyDiv w:val="1"/>
      <w:marLeft w:val="0"/>
      <w:marRight w:val="0"/>
      <w:marTop w:val="0"/>
      <w:marBottom w:val="0"/>
      <w:divBdr>
        <w:top w:val="none" w:sz="0" w:space="0" w:color="auto"/>
        <w:left w:val="none" w:sz="0" w:space="0" w:color="auto"/>
        <w:bottom w:val="none" w:sz="0" w:space="0" w:color="auto"/>
        <w:right w:val="none" w:sz="0" w:space="0" w:color="auto"/>
      </w:divBdr>
    </w:div>
    <w:div w:id="993724890">
      <w:bodyDiv w:val="1"/>
      <w:marLeft w:val="0"/>
      <w:marRight w:val="0"/>
      <w:marTop w:val="0"/>
      <w:marBottom w:val="0"/>
      <w:divBdr>
        <w:top w:val="none" w:sz="0" w:space="0" w:color="auto"/>
        <w:left w:val="none" w:sz="0" w:space="0" w:color="auto"/>
        <w:bottom w:val="none" w:sz="0" w:space="0" w:color="auto"/>
        <w:right w:val="none" w:sz="0" w:space="0" w:color="auto"/>
      </w:divBdr>
    </w:div>
    <w:div w:id="1494904910">
      <w:bodyDiv w:val="1"/>
      <w:marLeft w:val="0"/>
      <w:marRight w:val="0"/>
      <w:marTop w:val="0"/>
      <w:marBottom w:val="0"/>
      <w:divBdr>
        <w:top w:val="none" w:sz="0" w:space="0" w:color="auto"/>
        <w:left w:val="none" w:sz="0" w:space="0" w:color="auto"/>
        <w:bottom w:val="none" w:sz="0" w:space="0" w:color="auto"/>
        <w:right w:val="none" w:sz="0" w:space="0" w:color="auto"/>
      </w:divBdr>
    </w:div>
    <w:div w:id="1737626433">
      <w:bodyDiv w:val="1"/>
      <w:marLeft w:val="0"/>
      <w:marRight w:val="0"/>
      <w:marTop w:val="0"/>
      <w:marBottom w:val="0"/>
      <w:divBdr>
        <w:top w:val="none" w:sz="0" w:space="0" w:color="auto"/>
        <w:left w:val="none" w:sz="0" w:space="0" w:color="auto"/>
        <w:bottom w:val="none" w:sz="0" w:space="0" w:color="auto"/>
        <w:right w:val="none" w:sz="0" w:space="0" w:color="auto"/>
      </w:divBdr>
    </w:div>
    <w:div w:id="1741755756">
      <w:bodyDiv w:val="1"/>
      <w:marLeft w:val="0"/>
      <w:marRight w:val="0"/>
      <w:marTop w:val="0"/>
      <w:marBottom w:val="0"/>
      <w:divBdr>
        <w:top w:val="none" w:sz="0" w:space="0" w:color="auto"/>
        <w:left w:val="none" w:sz="0" w:space="0" w:color="auto"/>
        <w:bottom w:val="none" w:sz="0" w:space="0" w:color="auto"/>
        <w:right w:val="none" w:sz="0" w:space="0" w:color="auto"/>
      </w:divBdr>
    </w:div>
    <w:div w:id="1916939194">
      <w:bodyDiv w:val="1"/>
      <w:marLeft w:val="0"/>
      <w:marRight w:val="0"/>
      <w:marTop w:val="0"/>
      <w:marBottom w:val="0"/>
      <w:divBdr>
        <w:top w:val="none" w:sz="0" w:space="0" w:color="auto"/>
        <w:left w:val="none" w:sz="0" w:space="0" w:color="auto"/>
        <w:bottom w:val="none" w:sz="0" w:space="0" w:color="auto"/>
        <w:right w:val="none" w:sz="0" w:space="0" w:color="auto"/>
      </w:divBdr>
    </w:div>
    <w:div w:id="19450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H7EN5MXTHQNV-662-1774</_dlc_DocId>
    <_dlc_DocIdUrl xmlns="ae9388c0-b1e2-40ea-b6a8-c51c7913cbd2">
      <Url>https://mng.mincultura.gov.co/prensa/noticias/_layouts/15/DocIdRedir.aspx?ID=H7EN5MXTHQNV-662-1774</Url>
      <Description>H7EN5MXTHQNV-662-1774</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391B-6BA7-4E09-9EB0-E06740081850}"/>
</file>

<file path=customXml/itemProps2.xml><?xml version="1.0" encoding="utf-8"?>
<ds:datastoreItem xmlns:ds="http://schemas.openxmlformats.org/officeDocument/2006/customXml" ds:itemID="{E5080EF5-9F95-48F2-B572-6E7956B4FD70}"/>
</file>

<file path=customXml/itemProps3.xml><?xml version="1.0" encoding="utf-8"?>
<ds:datastoreItem xmlns:ds="http://schemas.openxmlformats.org/officeDocument/2006/customXml" ds:itemID="{D49A25E4-191E-4A01-BB78-BDB872C8C171}"/>
</file>

<file path=customXml/itemProps4.xml><?xml version="1.0" encoding="utf-8"?>
<ds:datastoreItem xmlns:ds="http://schemas.openxmlformats.org/officeDocument/2006/customXml" ds:itemID="{5CAEFD52-0954-49DE-BE36-6061ACEDF1DF}"/>
</file>

<file path=customXml/itemProps5.xml><?xml version="1.0" encoding="utf-8"?>
<ds:datastoreItem xmlns:ds="http://schemas.openxmlformats.org/officeDocument/2006/customXml" ds:itemID="{DC080697-9CE1-4858-9D43-08007A5228EE}"/>
</file>

<file path=docProps/app.xml><?xml version="1.0" encoding="utf-8"?>
<Properties xmlns="http://schemas.openxmlformats.org/officeDocument/2006/extended-properties" xmlns:vt="http://schemas.openxmlformats.org/officeDocument/2006/docPropsVTypes">
  <Template>Normal</Template>
  <TotalTime>268</TotalTime>
  <Pages>13</Pages>
  <Words>3724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Yenny Alejandra Gonzalez Gomez</dc:creator>
  <cp:lastModifiedBy>Maria Juliana Zamora Nieto</cp:lastModifiedBy>
  <cp:revision>15</cp:revision>
  <cp:lastPrinted>2018-12-17T21:11:00Z</cp:lastPrinted>
  <dcterms:created xsi:type="dcterms:W3CDTF">2019-01-30T23:39:00Z</dcterms:created>
  <dcterms:modified xsi:type="dcterms:W3CDTF">2019-02-01T01:12:00Z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e05ba9cd-c0e2-4953-a276-ee3ecd1ed36e</vt:lpwstr>
  </property>
</Properties>
</file>