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6F3" w:rsidRPr="0091704D" w:rsidRDefault="00CF66F3" w:rsidP="00CF66F3">
      <w:pPr>
        <w:autoSpaceDE w:val="0"/>
        <w:autoSpaceDN w:val="0"/>
        <w:adjustRightInd w:val="0"/>
        <w:spacing w:after="0" w:line="240" w:lineRule="auto"/>
        <w:ind w:left="-567" w:right="-799"/>
        <w:jc w:val="center"/>
        <w:rPr>
          <w:rFonts w:eastAsia="Times New Roman" w:cs="Arial"/>
          <w:lang w:eastAsia="es-ES"/>
        </w:rPr>
      </w:pPr>
      <w:bookmarkStart w:id="0" w:name="_Hlk516237687"/>
      <w:bookmarkStart w:id="1" w:name="_GoBack"/>
      <w:bookmarkEnd w:id="1"/>
    </w:p>
    <w:p w:rsidR="00CF66F3" w:rsidRPr="0091704D" w:rsidRDefault="00CF66F3" w:rsidP="00CF66F3">
      <w:pPr>
        <w:autoSpaceDE w:val="0"/>
        <w:autoSpaceDN w:val="0"/>
        <w:adjustRightInd w:val="0"/>
        <w:spacing w:after="0" w:line="240" w:lineRule="auto"/>
        <w:ind w:left="-567" w:right="-799"/>
        <w:jc w:val="center"/>
        <w:rPr>
          <w:rFonts w:eastAsia="Times New Roman" w:cs="Arial"/>
          <w:lang w:eastAsia="es-ES"/>
        </w:rPr>
      </w:pPr>
      <w:r w:rsidRPr="0091704D">
        <w:rPr>
          <w:rFonts w:eastAsia="Times New Roman" w:cs="Arial"/>
          <w:lang w:eastAsia="es-ES"/>
        </w:rPr>
        <w:t>“Por el cual se modifica y adiciona el Decreto 1080 de 2015, Decreto Único Reglamentario del Sector Cultura</w:t>
      </w:r>
      <w:r w:rsidR="00576B4D" w:rsidRPr="0091704D">
        <w:rPr>
          <w:rFonts w:eastAsia="Times New Roman" w:cs="Arial"/>
          <w:lang w:eastAsia="es-ES"/>
        </w:rPr>
        <w:t xml:space="preserve">, </w:t>
      </w:r>
      <w:r w:rsidR="00B12851">
        <w:rPr>
          <w:rFonts w:eastAsia="Times New Roman" w:cs="Arial"/>
          <w:lang w:eastAsia="es-ES"/>
        </w:rPr>
        <w:t xml:space="preserve">y se reglamentan </w:t>
      </w:r>
      <w:r w:rsidR="00576B4D" w:rsidRPr="0091704D">
        <w:rPr>
          <w:rFonts w:eastAsia="Times New Roman" w:cs="Arial"/>
          <w:lang w:eastAsia="es-ES"/>
        </w:rPr>
        <w:t>los artículos 179º y 180º de la ley 1955 de 2019, Ley del Plan Nacional de Desarrollo</w:t>
      </w:r>
      <w:r w:rsidR="00F03D8B" w:rsidRPr="0091704D">
        <w:rPr>
          <w:rFonts w:eastAsia="Times New Roman" w:cs="Arial"/>
          <w:lang w:eastAsia="es-ES"/>
        </w:rPr>
        <w:t xml:space="preserve"> 2018 – 20</w:t>
      </w:r>
      <w:r w:rsidR="00CF0B48">
        <w:rPr>
          <w:rFonts w:eastAsia="Times New Roman" w:cs="Arial"/>
          <w:lang w:eastAsia="es-ES"/>
        </w:rPr>
        <w:t>2</w:t>
      </w:r>
      <w:r w:rsidR="00F03D8B" w:rsidRPr="0091704D">
        <w:rPr>
          <w:rFonts w:eastAsia="Times New Roman" w:cs="Arial"/>
          <w:lang w:eastAsia="es-ES"/>
        </w:rPr>
        <w:t xml:space="preserve">2, Pacto por Colombia, </w:t>
      </w:r>
      <w:r w:rsidR="006F380E" w:rsidRPr="0091704D">
        <w:rPr>
          <w:rFonts w:eastAsia="Times New Roman" w:cs="Arial"/>
          <w:lang w:eastAsia="es-ES"/>
        </w:rPr>
        <w:t>P</w:t>
      </w:r>
      <w:r w:rsidR="00F03D8B" w:rsidRPr="0091704D">
        <w:rPr>
          <w:rFonts w:eastAsia="Times New Roman" w:cs="Arial"/>
          <w:lang w:eastAsia="es-ES"/>
        </w:rPr>
        <w:t>acto por la Equidad</w:t>
      </w:r>
      <w:r w:rsidRPr="0091704D">
        <w:rPr>
          <w:rFonts w:eastAsia="Times New Roman" w:cs="Arial"/>
          <w:lang w:eastAsia="es-ES"/>
        </w:rPr>
        <w:t>”</w:t>
      </w:r>
    </w:p>
    <w:p w:rsidR="00CF66F3" w:rsidRPr="0091704D" w:rsidRDefault="00CF66F3" w:rsidP="00CF66F3">
      <w:pPr>
        <w:autoSpaceDE w:val="0"/>
        <w:autoSpaceDN w:val="0"/>
        <w:adjustRightInd w:val="0"/>
        <w:spacing w:after="0" w:line="240" w:lineRule="auto"/>
        <w:ind w:left="-567" w:right="-799"/>
        <w:jc w:val="center"/>
        <w:rPr>
          <w:rFonts w:eastAsia="Times New Roman" w:cs="Arial"/>
          <w:lang w:eastAsia="es-ES"/>
        </w:rPr>
      </w:pPr>
    </w:p>
    <w:p w:rsidR="00CF66F3" w:rsidRPr="0091704D" w:rsidRDefault="00CF66F3" w:rsidP="00CF66F3">
      <w:pPr>
        <w:autoSpaceDE w:val="0"/>
        <w:autoSpaceDN w:val="0"/>
        <w:adjustRightInd w:val="0"/>
        <w:spacing w:after="0" w:line="240" w:lineRule="auto"/>
        <w:ind w:left="-567" w:right="-799"/>
        <w:jc w:val="center"/>
        <w:rPr>
          <w:rFonts w:eastAsia="Times New Roman" w:cs="Arial"/>
          <w:b/>
          <w:lang w:eastAsia="es-ES"/>
        </w:rPr>
      </w:pPr>
      <w:r w:rsidRPr="0091704D">
        <w:rPr>
          <w:rFonts w:eastAsia="Times New Roman" w:cs="Arial"/>
          <w:b/>
          <w:lang w:eastAsia="es-ES"/>
        </w:rPr>
        <w:t>EL PRESIDENTE DE LA REPÚBLICA DE COLOMBIA</w:t>
      </w:r>
    </w:p>
    <w:p w:rsidR="00CF66F3" w:rsidRPr="0091704D" w:rsidRDefault="00CF66F3" w:rsidP="00CF66F3">
      <w:pPr>
        <w:autoSpaceDE w:val="0"/>
        <w:autoSpaceDN w:val="0"/>
        <w:adjustRightInd w:val="0"/>
        <w:spacing w:after="0" w:line="240" w:lineRule="auto"/>
        <w:ind w:left="-567" w:right="-799"/>
        <w:jc w:val="center"/>
        <w:rPr>
          <w:rFonts w:eastAsia="Times New Roman" w:cs="Arial"/>
          <w:lang w:eastAsia="es-ES"/>
        </w:rPr>
      </w:pPr>
    </w:p>
    <w:p w:rsidR="00CF66F3" w:rsidRPr="0091704D" w:rsidRDefault="002B36A7" w:rsidP="00CF66F3">
      <w:pPr>
        <w:autoSpaceDE w:val="0"/>
        <w:autoSpaceDN w:val="0"/>
        <w:adjustRightInd w:val="0"/>
        <w:spacing w:after="0" w:line="240" w:lineRule="auto"/>
        <w:ind w:left="-567" w:right="-799"/>
        <w:jc w:val="both"/>
        <w:rPr>
          <w:rFonts w:eastAsia="Calibri" w:cs="Arial"/>
        </w:rPr>
      </w:pPr>
      <w:r>
        <w:t>En e</w:t>
      </w:r>
      <w:r w:rsidR="00CF66F3" w:rsidRPr="0091704D">
        <w:t xml:space="preserve">jercicio de las facultades constitucionales y legales en especial las conferidas por el numeral 11 del artículo 189 de la </w:t>
      </w:r>
      <w:r w:rsidR="00576B4D" w:rsidRPr="0091704D">
        <w:t>C</w:t>
      </w:r>
      <w:r w:rsidR="00CF66F3" w:rsidRPr="0091704D">
        <w:t xml:space="preserve">onstitución </w:t>
      </w:r>
      <w:r w:rsidR="00576B4D" w:rsidRPr="0091704D">
        <w:t>P</w:t>
      </w:r>
      <w:r w:rsidR="00CF66F3" w:rsidRPr="0091704D">
        <w:t>olítica</w:t>
      </w:r>
      <w:r w:rsidR="00B12851">
        <w:t xml:space="preserve"> y en desarrollo de </w:t>
      </w:r>
      <w:r w:rsidR="00576B4D" w:rsidRPr="0091704D">
        <w:t>los artículos 179º y 180º de la ley 1955 de 2019</w:t>
      </w:r>
      <w:r w:rsidR="00CF66F3" w:rsidRPr="0091704D">
        <w:t xml:space="preserve"> y</w:t>
      </w:r>
      <w:r w:rsidR="00576B4D" w:rsidRPr="0091704D">
        <w:t>,</w:t>
      </w:r>
    </w:p>
    <w:p w:rsidR="00CF66F3" w:rsidRPr="0091704D" w:rsidRDefault="00CF66F3" w:rsidP="00CF66F3">
      <w:pPr>
        <w:autoSpaceDE w:val="0"/>
        <w:autoSpaceDN w:val="0"/>
        <w:adjustRightInd w:val="0"/>
        <w:spacing w:after="0" w:line="240" w:lineRule="auto"/>
        <w:ind w:left="-567" w:right="-799"/>
        <w:jc w:val="both"/>
        <w:rPr>
          <w:rFonts w:eastAsia="Calibri" w:cs="Arial"/>
        </w:rPr>
      </w:pPr>
    </w:p>
    <w:p w:rsidR="00C110A6" w:rsidRDefault="00CF66F3" w:rsidP="00BE4725">
      <w:pPr>
        <w:autoSpaceDE w:val="0"/>
        <w:autoSpaceDN w:val="0"/>
        <w:adjustRightInd w:val="0"/>
        <w:spacing w:after="0" w:line="240" w:lineRule="auto"/>
        <w:ind w:left="-567" w:right="-799"/>
        <w:jc w:val="center"/>
        <w:rPr>
          <w:rFonts w:eastAsia="Times New Roman" w:cs="Arial"/>
          <w:b/>
          <w:bCs/>
          <w:lang w:eastAsia="es-ES"/>
        </w:rPr>
      </w:pPr>
      <w:r w:rsidRPr="0091704D">
        <w:rPr>
          <w:rFonts w:eastAsia="Times New Roman" w:cs="Arial"/>
          <w:b/>
          <w:bCs/>
          <w:lang w:eastAsia="es-ES"/>
        </w:rPr>
        <w:t>CONSIDERANDO:</w:t>
      </w:r>
    </w:p>
    <w:p w:rsidR="00BE4725" w:rsidRDefault="00BE4725" w:rsidP="00BE4725">
      <w:pPr>
        <w:autoSpaceDE w:val="0"/>
        <w:autoSpaceDN w:val="0"/>
        <w:adjustRightInd w:val="0"/>
        <w:spacing w:after="0" w:line="240" w:lineRule="auto"/>
        <w:ind w:left="-567" w:right="-799"/>
        <w:rPr>
          <w:rFonts w:eastAsia="Times New Roman" w:cs="Arial"/>
          <w:b/>
          <w:bCs/>
          <w:lang w:eastAsia="es-ES"/>
        </w:rPr>
      </w:pPr>
    </w:p>
    <w:p w:rsidR="00917C03" w:rsidRDefault="00917C03" w:rsidP="00917C03">
      <w:pPr>
        <w:spacing w:after="0" w:line="240" w:lineRule="auto"/>
        <w:ind w:left="-567" w:right="-799"/>
        <w:jc w:val="both"/>
        <w:rPr>
          <w:rFonts w:cs="Arial"/>
        </w:rPr>
      </w:pPr>
      <w:r w:rsidRPr="0091704D">
        <w:rPr>
          <w:rFonts w:cs="Arial"/>
        </w:rPr>
        <w:t xml:space="preserve">Que es un propósito del Gobierno Nacional reforzar el gran potencial de la economía creativa en Colombia y mantener al país como actor de primer orden en el contexto de las industrias culturales y creativas en Iberoamérica y como referente internacional. </w:t>
      </w:r>
    </w:p>
    <w:p w:rsidR="00917C03" w:rsidRDefault="00917C03" w:rsidP="00917C03">
      <w:pPr>
        <w:spacing w:after="0" w:line="240" w:lineRule="auto"/>
        <w:ind w:left="-567" w:right="-799"/>
        <w:jc w:val="both"/>
        <w:rPr>
          <w:rFonts w:cs="Arial"/>
        </w:rPr>
      </w:pPr>
    </w:p>
    <w:p w:rsidR="00917C03" w:rsidRDefault="00917C03" w:rsidP="00917C03">
      <w:pPr>
        <w:spacing w:after="0" w:line="240" w:lineRule="auto"/>
        <w:ind w:left="-567" w:right="-799"/>
        <w:jc w:val="both"/>
        <w:rPr>
          <w:rFonts w:cs="Arial"/>
        </w:rPr>
      </w:pPr>
      <w:r>
        <w:rPr>
          <w:rFonts w:cs="Arial"/>
        </w:rPr>
        <w:t xml:space="preserve">Que el decreto 1080 de 2015 contiene las disposiciones reglamentarias del sector cultura, entre las que se incluyeron las disposiciones de carácter tributario del referido sector. </w:t>
      </w:r>
    </w:p>
    <w:p w:rsidR="00917C03" w:rsidRDefault="00917C03" w:rsidP="00917C03">
      <w:pPr>
        <w:spacing w:after="0" w:line="240" w:lineRule="auto"/>
        <w:ind w:left="-567" w:right="-799"/>
        <w:jc w:val="both"/>
        <w:rPr>
          <w:rFonts w:cs="Arial"/>
        </w:rPr>
      </w:pPr>
    </w:p>
    <w:p w:rsidR="00EC7882" w:rsidRPr="0091704D" w:rsidRDefault="00E10443" w:rsidP="00C110A6">
      <w:pPr>
        <w:spacing w:after="0" w:line="240" w:lineRule="auto"/>
        <w:ind w:left="-567" w:right="-799"/>
        <w:jc w:val="both"/>
        <w:rPr>
          <w:rFonts w:cs="Arial"/>
        </w:rPr>
      </w:pPr>
      <w:r w:rsidRPr="0091704D">
        <w:rPr>
          <w:rFonts w:cs="Arial"/>
        </w:rPr>
        <w:t xml:space="preserve">Que el artículo 179º </w:t>
      </w:r>
      <w:r w:rsidR="00124603" w:rsidRPr="0091704D">
        <w:rPr>
          <w:rFonts w:cs="Arial"/>
        </w:rPr>
        <w:t>de la ley 1955 de 2019 estableció las Áreas de Desarrollo Naranja, así:</w:t>
      </w:r>
    </w:p>
    <w:p w:rsidR="00EC7882" w:rsidRPr="0091704D" w:rsidRDefault="00EC7882" w:rsidP="00EC7882">
      <w:pPr>
        <w:spacing w:after="0" w:line="240" w:lineRule="auto"/>
        <w:ind w:left="-567" w:right="-799"/>
        <w:jc w:val="both"/>
        <w:rPr>
          <w:rFonts w:cs="Arial"/>
          <w:i/>
        </w:rPr>
      </w:pPr>
    </w:p>
    <w:p w:rsidR="00916C73" w:rsidRDefault="00124603" w:rsidP="00916C73">
      <w:pPr>
        <w:spacing w:after="0" w:line="240" w:lineRule="auto"/>
        <w:ind w:left="-567" w:right="-799"/>
        <w:jc w:val="both"/>
        <w:rPr>
          <w:rFonts w:cs="Arial"/>
        </w:rPr>
      </w:pPr>
      <w:r w:rsidRPr="0091704D">
        <w:rPr>
          <w:rFonts w:cs="Arial"/>
          <w:i/>
        </w:rPr>
        <w:t xml:space="preserve">“ARTÍCULO 179. </w:t>
      </w:r>
      <w:r w:rsidR="00E10443" w:rsidRPr="0091704D">
        <w:rPr>
          <w:rFonts w:cs="Arial"/>
          <w:i/>
        </w:rPr>
        <w:t>ÁREAS DE DESARROLLO NARANJA. Se entiende por Áreas de Desarrollo Naranja -ADN</w:t>
      </w:r>
      <w:r w:rsidRPr="0091704D">
        <w:rPr>
          <w:rFonts w:cs="Arial"/>
          <w:i/>
        </w:rPr>
        <w:t>-</w:t>
      </w:r>
      <w:r w:rsidR="00E10443" w:rsidRPr="0091704D">
        <w:rPr>
          <w:rFonts w:cs="Arial"/>
          <w:i/>
        </w:rPr>
        <w:t xml:space="preserve"> los espacios geográficos que sean delimitados y reconocidos a través de instrumentos de ordenamiento territorial o decisiones administrativas de la entidad territorial, que tengan por objeto incentivar y fortalecer las actividades culturales y creativas previstas en el artículo 2 de la Ley 1834 de 2017. Las ADN basadas en la oferta cultural y creativa son espacios que operan como centros de actividad económica y creativa, contribuyen a la renovación urbana y al mejoramiento del área de ubicación, crean un ambiente propicio en el que confluyen iniciativas en estos campos, fortalecen el emprendimiento, el empleo basado en la creatividad, el turismo, la recuperación del patrimonio cultural construido, la conservación medioambiental, la transferencia de conocimientos, el sentido de pertenencia, la inclusión social y el acceso ciudadano a la oferta cultural y creativa.</w:t>
      </w:r>
    </w:p>
    <w:p w:rsidR="00916C73" w:rsidRDefault="00916C73" w:rsidP="00916C73">
      <w:pPr>
        <w:spacing w:after="0" w:line="240" w:lineRule="auto"/>
        <w:ind w:left="-567" w:right="-799"/>
        <w:jc w:val="both"/>
        <w:rPr>
          <w:rFonts w:cs="Arial"/>
          <w:i/>
        </w:rPr>
      </w:pPr>
    </w:p>
    <w:p w:rsidR="00E10443" w:rsidRPr="00916C73" w:rsidRDefault="00E10443" w:rsidP="00916C73">
      <w:pPr>
        <w:spacing w:after="0" w:line="240" w:lineRule="auto"/>
        <w:ind w:left="-567" w:right="-799"/>
        <w:jc w:val="both"/>
        <w:rPr>
          <w:rFonts w:cs="Arial"/>
        </w:rPr>
      </w:pPr>
      <w:r w:rsidRPr="0091704D">
        <w:rPr>
          <w:rFonts w:cs="Arial"/>
          <w:i/>
        </w:rPr>
        <w:t>Para el desarrollo de cada ADN la autoridad competente podrá definir las actividades culturales y creativas a desarrollar, así como los beneficios normativos y tributarios respectivos.</w:t>
      </w:r>
    </w:p>
    <w:p w:rsidR="00124603" w:rsidRPr="0091704D" w:rsidRDefault="00124603" w:rsidP="009D31E1">
      <w:pPr>
        <w:spacing w:after="0" w:line="240" w:lineRule="auto"/>
        <w:ind w:left="-567" w:right="-799"/>
        <w:jc w:val="both"/>
        <w:rPr>
          <w:rFonts w:cs="Arial"/>
          <w:i/>
        </w:rPr>
      </w:pPr>
    </w:p>
    <w:p w:rsidR="00E10443" w:rsidRPr="0091704D" w:rsidRDefault="00E10443" w:rsidP="009D31E1">
      <w:pPr>
        <w:spacing w:after="0" w:line="240" w:lineRule="auto"/>
        <w:ind w:left="-567" w:right="-799"/>
        <w:jc w:val="both"/>
        <w:rPr>
          <w:rFonts w:cs="Arial"/>
          <w:i/>
        </w:rPr>
      </w:pPr>
      <w:r w:rsidRPr="0091704D">
        <w:rPr>
          <w:rFonts w:cs="Arial"/>
          <w:i/>
        </w:rPr>
        <w:t>Para estimular la localización de actividades culturales y creativas en los espacios identificados</w:t>
      </w:r>
      <w:r w:rsidR="00124603" w:rsidRPr="0091704D">
        <w:rPr>
          <w:rFonts w:cs="Arial"/>
          <w:i/>
        </w:rPr>
        <w:t xml:space="preserve"> </w:t>
      </w:r>
      <w:r w:rsidRPr="0091704D">
        <w:rPr>
          <w:rFonts w:cs="Arial"/>
          <w:i/>
        </w:rPr>
        <w:t>y crear un ambiente que permita atraer la inversión para mejoras locativas, se podrá promover la exención de un porcentaje del impuesto predial por un tiempo establecido, la exención de un porcentaje del impuesto por la compra o venta de inmuebles y la exención del pago del impuesto de delineación urbana.</w:t>
      </w:r>
    </w:p>
    <w:p w:rsidR="00AE79B2" w:rsidRPr="0091704D" w:rsidRDefault="00AE79B2" w:rsidP="009D31E1">
      <w:pPr>
        <w:spacing w:after="0" w:line="240" w:lineRule="auto"/>
        <w:ind w:left="-567" w:right="-799"/>
        <w:jc w:val="both"/>
        <w:rPr>
          <w:rFonts w:cs="Arial"/>
          <w:i/>
        </w:rPr>
      </w:pPr>
    </w:p>
    <w:p w:rsidR="00E10443" w:rsidRPr="0091704D" w:rsidRDefault="00E10443" w:rsidP="009D31E1">
      <w:pPr>
        <w:spacing w:after="0" w:line="240" w:lineRule="auto"/>
        <w:ind w:left="-567" w:right="-799"/>
        <w:jc w:val="both"/>
        <w:rPr>
          <w:rFonts w:cs="Arial"/>
          <w:i/>
        </w:rPr>
      </w:pPr>
      <w:r w:rsidRPr="0091704D">
        <w:rPr>
          <w:rFonts w:cs="Arial"/>
          <w:i/>
        </w:rPr>
        <w:t>En todo caso, las autoridades competentes deben establecer los procedimientos de identificación y registro de los beneficiarios, los procedimientos legales para su operación y los mecanismos de control y seguimiento pertinentes.</w:t>
      </w:r>
    </w:p>
    <w:p w:rsidR="00E172EA" w:rsidRPr="0091704D" w:rsidRDefault="00E172EA" w:rsidP="009D31E1">
      <w:pPr>
        <w:spacing w:after="0" w:line="240" w:lineRule="auto"/>
        <w:ind w:left="-567" w:right="-799"/>
        <w:jc w:val="both"/>
        <w:rPr>
          <w:rFonts w:cs="Arial"/>
          <w:i/>
        </w:rPr>
      </w:pPr>
    </w:p>
    <w:p w:rsidR="00E10443" w:rsidRPr="0091704D" w:rsidRDefault="00E10443" w:rsidP="009D31E1">
      <w:pPr>
        <w:spacing w:after="0" w:line="240" w:lineRule="auto"/>
        <w:ind w:left="-567" w:right="-799"/>
        <w:jc w:val="both"/>
        <w:rPr>
          <w:rFonts w:cs="Arial"/>
          <w:i/>
        </w:rPr>
      </w:pPr>
      <w:r w:rsidRPr="0091704D">
        <w:rPr>
          <w:rFonts w:cs="Arial"/>
          <w:i/>
        </w:rPr>
        <w:t>En la identificación de los beneficiarios tendrá en cuenta a los residentes de la zona y a aquellos que realizan allí sus actividades culturales y creativas, para buscar un equilibrio con la inversión público y privada que se atraiga.</w:t>
      </w:r>
    </w:p>
    <w:p w:rsidR="00E10443" w:rsidRPr="0091704D" w:rsidRDefault="00E10443" w:rsidP="009D31E1">
      <w:pPr>
        <w:spacing w:after="0" w:line="240" w:lineRule="auto"/>
        <w:ind w:left="-567" w:right="-799"/>
        <w:jc w:val="both"/>
        <w:rPr>
          <w:rFonts w:cs="Arial"/>
          <w:i/>
        </w:rPr>
      </w:pPr>
    </w:p>
    <w:p w:rsidR="0032752A" w:rsidRDefault="00E10443" w:rsidP="009D31E1">
      <w:pPr>
        <w:spacing w:after="0" w:line="240" w:lineRule="auto"/>
        <w:ind w:left="-567" w:right="-799"/>
        <w:jc w:val="both"/>
        <w:rPr>
          <w:rFonts w:cs="Arial"/>
          <w:i/>
        </w:rPr>
      </w:pPr>
      <w:r w:rsidRPr="0091704D">
        <w:rPr>
          <w:rFonts w:cs="Arial"/>
          <w:i/>
        </w:rPr>
        <w:t xml:space="preserve">PARÁGRAFO. Las inversiones que se realicen en Áreas de Desarrollo Naranja </w:t>
      </w:r>
      <w:r w:rsidR="00E172EA" w:rsidRPr="0091704D">
        <w:rPr>
          <w:rFonts w:cs="Arial"/>
          <w:i/>
        </w:rPr>
        <w:t xml:space="preserve">- </w:t>
      </w:r>
      <w:r w:rsidRPr="0091704D">
        <w:rPr>
          <w:rFonts w:cs="Arial"/>
          <w:i/>
        </w:rPr>
        <w:t>ADN</w:t>
      </w:r>
      <w:r w:rsidR="00E172EA" w:rsidRPr="0091704D">
        <w:rPr>
          <w:rFonts w:cs="Arial"/>
          <w:i/>
        </w:rPr>
        <w:t xml:space="preserve">- </w:t>
      </w:r>
      <w:r w:rsidRPr="0091704D">
        <w:rPr>
          <w:rFonts w:cs="Arial"/>
          <w:i/>
        </w:rPr>
        <w:t xml:space="preserve">tendrán el mismo beneficio de obras por impuestos previsto en el artículo 71 de la Ley 1943 de 2018, que adiciona el artículo 800-1 al Estatuto Tributario. Las entidades estales declarantes de renta y los particulares que participen en asociaciones público </w:t>
      </w:r>
    </w:p>
    <w:p w:rsidR="0032752A" w:rsidRDefault="0032752A" w:rsidP="009D31E1">
      <w:pPr>
        <w:spacing w:after="0" w:line="240" w:lineRule="auto"/>
        <w:ind w:left="-567" w:right="-799"/>
        <w:jc w:val="both"/>
        <w:rPr>
          <w:rFonts w:cs="Arial"/>
          <w:i/>
        </w:rPr>
      </w:pPr>
    </w:p>
    <w:p w:rsidR="0032752A" w:rsidRDefault="0032752A" w:rsidP="009D31E1">
      <w:pPr>
        <w:spacing w:after="0" w:line="240" w:lineRule="auto"/>
        <w:ind w:left="-567" w:right="-799"/>
        <w:jc w:val="both"/>
        <w:rPr>
          <w:rFonts w:cs="Arial"/>
          <w:i/>
        </w:rPr>
      </w:pPr>
    </w:p>
    <w:p w:rsidR="0032752A" w:rsidRDefault="0032752A" w:rsidP="009D31E1">
      <w:pPr>
        <w:spacing w:after="0" w:line="240" w:lineRule="auto"/>
        <w:ind w:left="-567" w:right="-799"/>
        <w:jc w:val="both"/>
        <w:rPr>
          <w:rFonts w:cs="Arial"/>
          <w:i/>
        </w:rPr>
      </w:pPr>
    </w:p>
    <w:p w:rsidR="00916C73" w:rsidRDefault="00916C73" w:rsidP="009D31E1">
      <w:pPr>
        <w:spacing w:after="0" w:line="240" w:lineRule="auto"/>
        <w:ind w:left="-567" w:right="-799"/>
        <w:jc w:val="both"/>
        <w:rPr>
          <w:rFonts w:cs="Arial"/>
          <w:i/>
        </w:rPr>
      </w:pPr>
    </w:p>
    <w:p w:rsidR="00916C73" w:rsidRDefault="00916C73" w:rsidP="009D31E1">
      <w:pPr>
        <w:spacing w:after="0" w:line="240" w:lineRule="auto"/>
        <w:ind w:left="-567" w:right="-799"/>
        <w:jc w:val="both"/>
        <w:rPr>
          <w:rFonts w:cs="Arial"/>
          <w:i/>
        </w:rPr>
      </w:pPr>
    </w:p>
    <w:p w:rsidR="00E10443" w:rsidRPr="0091704D" w:rsidRDefault="00E10443" w:rsidP="009D31E1">
      <w:pPr>
        <w:spacing w:after="0" w:line="240" w:lineRule="auto"/>
        <w:ind w:left="-567" w:right="-799"/>
        <w:jc w:val="both"/>
        <w:rPr>
          <w:rFonts w:cs="Arial"/>
          <w:i/>
        </w:rPr>
      </w:pPr>
      <w:r w:rsidRPr="0091704D">
        <w:rPr>
          <w:rFonts w:cs="Arial"/>
          <w:i/>
        </w:rPr>
        <w:t>privadas regidas por la Ley 1508 de 2012 para la realización de proyectos de economía creativa y que desarrollen infraestructuras en la forma descrita en el precitado artículo 71, también serán destinatarias de este mecanismo.</w:t>
      </w:r>
    </w:p>
    <w:p w:rsidR="00E172EA" w:rsidRPr="0091704D" w:rsidRDefault="00E172EA" w:rsidP="009D31E1">
      <w:pPr>
        <w:spacing w:after="0" w:line="240" w:lineRule="auto"/>
        <w:ind w:left="-567" w:right="-799"/>
        <w:jc w:val="both"/>
        <w:rPr>
          <w:rFonts w:cs="Arial"/>
          <w:i/>
        </w:rPr>
      </w:pPr>
    </w:p>
    <w:p w:rsidR="00E10443" w:rsidRPr="0091704D" w:rsidRDefault="00E10443" w:rsidP="009D31E1">
      <w:pPr>
        <w:spacing w:after="0" w:line="240" w:lineRule="auto"/>
        <w:ind w:left="-567" w:right="-799"/>
        <w:jc w:val="both"/>
        <w:rPr>
          <w:rFonts w:cs="Arial"/>
          <w:i/>
        </w:rPr>
      </w:pPr>
      <w:r w:rsidRPr="0091704D">
        <w:rPr>
          <w:rFonts w:cs="Arial"/>
          <w:i/>
        </w:rPr>
        <w:t>Las instancias de evaluación, viabilización y aprobación deberán contar con el concepto previo favorable del Ministerio de Cultura. Esta entidad deberá conformar un banco de proyectos susceptibles de contar con viabilidad técnica y presupuesta para recibir el amparo de que trata este artículo y que puedan llevarse a cabo en las ADN que se establezcan.</w:t>
      </w:r>
    </w:p>
    <w:p w:rsidR="00E172EA" w:rsidRPr="0091704D" w:rsidRDefault="00E172EA" w:rsidP="009D31E1">
      <w:pPr>
        <w:spacing w:after="0" w:line="240" w:lineRule="auto"/>
        <w:ind w:left="-567" w:right="-799"/>
        <w:jc w:val="both"/>
        <w:rPr>
          <w:rFonts w:cs="Arial"/>
          <w:i/>
        </w:rPr>
      </w:pPr>
    </w:p>
    <w:p w:rsidR="00CD498C" w:rsidRPr="000C1D70" w:rsidRDefault="00E10443" w:rsidP="000C1D70">
      <w:pPr>
        <w:spacing w:after="0" w:line="240" w:lineRule="auto"/>
        <w:ind w:left="-567" w:right="-799"/>
        <w:jc w:val="both"/>
        <w:rPr>
          <w:rFonts w:cs="Arial"/>
          <w:i/>
        </w:rPr>
      </w:pPr>
      <w:r w:rsidRPr="0091704D">
        <w:rPr>
          <w:rFonts w:cs="Arial"/>
          <w:i/>
        </w:rPr>
        <w:t>El Gobierno nacional reglamentará lo previsto en este artículo y tendrá la facultad para definir los topes o montos máximos de los proyectos beneficiarios de obras por impuestos en Áreas de Desarrollo Naranja.</w:t>
      </w:r>
      <w:r w:rsidR="00E172EA" w:rsidRPr="0091704D">
        <w:rPr>
          <w:rFonts w:cs="Arial"/>
          <w:i/>
        </w:rPr>
        <w:t>”</w:t>
      </w:r>
    </w:p>
    <w:p w:rsidR="004060F2" w:rsidRDefault="004060F2" w:rsidP="00916C73">
      <w:pPr>
        <w:spacing w:after="0" w:line="240" w:lineRule="auto"/>
        <w:ind w:right="-799"/>
        <w:jc w:val="both"/>
        <w:rPr>
          <w:rFonts w:cs="Arial"/>
        </w:rPr>
      </w:pPr>
    </w:p>
    <w:p w:rsidR="000C1D70" w:rsidRDefault="00474156" w:rsidP="004060F2">
      <w:pPr>
        <w:spacing w:after="0" w:line="240" w:lineRule="auto"/>
        <w:ind w:left="-567" w:right="-799"/>
        <w:jc w:val="both"/>
        <w:rPr>
          <w:rFonts w:cs="Arial"/>
        </w:rPr>
      </w:pPr>
      <w:r>
        <w:rPr>
          <w:rFonts w:cs="Arial"/>
        </w:rPr>
        <w:t xml:space="preserve">Que las Áreas de Desarrollo Naranja tienen una vocación </w:t>
      </w:r>
      <w:r w:rsidR="004060F2">
        <w:rPr>
          <w:rFonts w:cs="Arial"/>
        </w:rPr>
        <w:t>e</w:t>
      </w:r>
      <w:r>
        <w:rPr>
          <w:rFonts w:cs="Arial"/>
        </w:rPr>
        <w:t xml:space="preserve">special para la renovación urbana y la integración social acudiendo a proyectos específicos de economía creativa. En consecuencia, mediante este decreto se reglamenta </w:t>
      </w:r>
      <w:r w:rsidR="000C1D70">
        <w:rPr>
          <w:rFonts w:cs="Arial"/>
        </w:rPr>
        <w:t xml:space="preserve">el alcance de dichas áreas </w:t>
      </w:r>
      <w:r>
        <w:rPr>
          <w:rFonts w:cs="Arial"/>
        </w:rPr>
        <w:t xml:space="preserve">cuando quiera que las inversiones que allí se realicen pretendan acudir al instrumento de </w:t>
      </w:r>
      <w:r w:rsidR="000C1D70">
        <w:rPr>
          <w:rFonts w:cs="Arial"/>
        </w:rPr>
        <w:t xml:space="preserve">incentivo tributario establecido en el artículo 180º de la ley 1955 de 2019 para proyectos culturales y creativos. </w:t>
      </w:r>
    </w:p>
    <w:p w:rsidR="00474156" w:rsidRDefault="00474156" w:rsidP="000C1D70">
      <w:pPr>
        <w:spacing w:after="0" w:line="240" w:lineRule="auto"/>
        <w:ind w:right="-799"/>
        <w:jc w:val="both"/>
        <w:rPr>
          <w:rFonts w:cs="Arial"/>
        </w:rPr>
      </w:pPr>
    </w:p>
    <w:p w:rsidR="00E10443" w:rsidRPr="0091704D" w:rsidRDefault="00E10443" w:rsidP="00474156">
      <w:pPr>
        <w:spacing w:after="0" w:line="240" w:lineRule="auto"/>
        <w:ind w:left="-567" w:right="-799"/>
        <w:jc w:val="both"/>
        <w:rPr>
          <w:rFonts w:cs="Arial"/>
        </w:rPr>
      </w:pPr>
      <w:r w:rsidRPr="0091704D">
        <w:rPr>
          <w:rFonts w:cs="Arial"/>
        </w:rPr>
        <w:t>Que el</w:t>
      </w:r>
      <w:r w:rsidR="003B065E" w:rsidRPr="0091704D">
        <w:rPr>
          <w:rFonts w:cs="Arial"/>
        </w:rPr>
        <w:t xml:space="preserve"> </w:t>
      </w:r>
      <w:r w:rsidRPr="0091704D">
        <w:rPr>
          <w:rFonts w:cs="Arial"/>
        </w:rPr>
        <w:t>artículo 180º de la ley 1955</w:t>
      </w:r>
      <w:r w:rsidR="003B065E" w:rsidRPr="0091704D">
        <w:rPr>
          <w:rFonts w:cs="Arial"/>
        </w:rPr>
        <w:t xml:space="preserve"> de 2019 dispuso la aplicación de un </w:t>
      </w:r>
      <w:r w:rsidR="00917973">
        <w:rPr>
          <w:rFonts w:cs="Arial"/>
        </w:rPr>
        <w:t xml:space="preserve">incentivo </w:t>
      </w:r>
      <w:r w:rsidR="003B065E" w:rsidRPr="0091704D">
        <w:rPr>
          <w:rFonts w:cs="Arial"/>
        </w:rPr>
        <w:t>tributario de deducción para las inversiones o donaciones que se</w:t>
      </w:r>
      <w:r w:rsidR="00166058">
        <w:rPr>
          <w:rFonts w:cs="Arial"/>
        </w:rPr>
        <w:t xml:space="preserve"> hagan </w:t>
      </w:r>
      <w:r w:rsidR="003B065E" w:rsidRPr="0091704D">
        <w:rPr>
          <w:rFonts w:cs="Arial"/>
        </w:rPr>
        <w:t>a proyectos</w:t>
      </w:r>
      <w:r w:rsidR="007F5F7D">
        <w:rPr>
          <w:rFonts w:cs="Arial"/>
        </w:rPr>
        <w:t xml:space="preserve"> culturales y </w:t>
      </w:r>
      <w:r w:rsidR="003B065E" w:rsidRPr="0091704D">
        <w:rPr>
          <w:rFonts w:cs="Arial"/>
        </w:rPr>
        <w:t>de economía creativa, así:</w:t>
      </w:r>
      <w:r w:rsidRPr="0091704D">
        <w:rPr>
          <w:rFonts w:cs="Arial"/>
        </w:rPr>
        <w:t xml:space="preserve"> </w:t>
      </w:r>
    </w:p>
    <w:p w:rsidR="00E10443" w:rsidRPr="0091704D" w:rsidRDefault="00E10443" w:rsidP="009D31E1">
      <w:pPr>
        <w:spacing w:after="0" w:line="240" w:lineRule="auto"/>
        <w:ind w:left="-567" w:right="-799"/>
        <w:jc w:val="both"/>
        <w:rPr>
          <w:rFonts w:cs="Arial"/>
        </w:rPr>
      </w:pPr>
    </w:p>
    <w:p w:rsidR="00E10443" w:rsidRPr="0091704D" w:rsidRDefault="00E10443" w:rsidP="009D31E1">
      <w:pPr>
        <w:spacing w:after="0" w:line="240" w:lineRule="auto"/>
        <w:ind w:left="-567" w:right="-799"/>
        <w:jc w:val="both"/>
        <w:rPr>
          <w:rFonts w:cs="Arial"/>
          <w:i/>
        </w:rPr>
      </w:pPr>
      <w:r w:rsidRPr="0091704D">
        <w:rPr>
          <w:rFonts w:cs="Arial"/>
          <w:i/>
        </w:rPr>
        <w:t xml:space="preserve">“Artículo 180º. PROYECTOS DE ECONOMÍA CREATIVA. El Ministerio de Cultura podrá realizar una convocatoria anual de proyectos de economía creativa en los campos definidos en el artículo 2 de la Ley 1834 de 2017, así como planes especiales de salvaguardia de manifestaciones culturales incorporadas a listas representativas de patrimonio cultural inmaterial acordes con la Ley 1185 de 2008, e infraestructura de espectáculos públicos de artes escénicas previstos en el artículo 4 de la Ley 1493 de 2011, respecto de las cuales las inversiones o donaciones recibirán similar deducción a la prevista en el artículo 195 de la Ley 1607 de 2012. Los certificados de inversión que se generen para </w:t>
      </w:r>
      <w:r w:rsidR="003B065E" w:rsidRPr="0091704D">
        <w:rPr>
          <w:rFonts w:cs="Arial"/>
          <w:i/>
        </w:rPr>
        <w:t>a</w:t>
      </w:r>
      <w:r w:rsidRPr="0091704D">
        <w:rPr>
          <w:rFonts w:cs="Arial"/>
          <w:i/>
        </w:rPr>
        <w:t>mparar el incentivo serán a la orden negociables en el mercado.</w:t>
      </w:r>
    </w:p>
    <w:p w:rsidR="003B065E" w:rsidRPr="0091704D" w:rsidRDefault="003B065E" w:rsidP="009D31E1">
      <w:pPr>
        <w:spacing w:after="0" w:line="240" w:lineRule="auto"/>
        <w:ind w:left="-567" w:right="-799"/>
        <w:jc w:val="both"/>
        <w:rPr>
          <w:rFonts w:cs="Arial"/>
          <w:i/>
        </w:rPr>
      </w:pPr>
    </w:p>
    <w:p w:rsidR="00E73C6D" w:rsidRDefault="00E10443" w:rsidP="00E73C6D">
      <w:pPr>
        <w:spacing w:after="0" w:line="240" w:lineRule="auto"/>
        <w:ind w:left="-567" w:right="-799"/>
        <w:jc w:val="both"/>
        <w:rPr>
          <w:rFonts w:cs="Arial"/>
          <w:i/>
        </w:rPr>
      </w:pPr>
      <w:r w:rsidRPr="0091704D">
        <w:rPr>
          <w:rFonts w:cs="Arial"/>
          <w:i/>
        </w:rPr>
        <w:t>El Consejo Nacional de la Economía Naranja establecerá un cupo anual máximo para estos</w:t>
      </w:r>
      <w:r w:rsidR="007F5F7D">
        <w:rPr>
          <w:rFonts w:cs="Arial"/>
          <w:i/>
        </w:rPr>
        <w:t xml:space="preserve"> efectos.</w:t>
      </w:r>
    </w:p>
    <w:p w:rsidR="00E73C6D" w:rsidRDefault="00E73C6D" w:rsidP="00E73C6D">
      <w:pPr>
        <w:spacing w:after="0" w:line="240" w:lineRule="auto"/>
        <w:ind w:left="-567" w:right="-799"/>
        <w:jc w:val="both"/>
        <w:rPr>
          <w:rFonts w:cs="Arial"/>
          <w:i/>
        </w:rPr>
      </w:pPr>
    </w:p>
    <w:p w:rsidR="00AA2170" w:rsidRPr="0091704D" w:rsidRDefault="00E10443" w:rsidP="00E73C6D">
      <w:pPr>
        <w:spacing w:after="0" w:line="240" w:lineRule="auto"/>
        <w:ind w:left="-567" w:right="-799"/>
        <w:jc w:val="both"/>
        <w:rPr>
          <w:rFonts w:cs="Arial"/>
          <w:i/>
        </w:rPr>
      </w:pPr>
      <w:r w:rsidRPr="0091704D">
        <w:rPr>
          <w:rFonts w:cs="Arial"/>
          <w:i/>
        </w:rPr>
        <w:t>PARÁGRAFO PRIMERO. El Ministerio de Cultura podrá definir, de considerarlo necesario, que la convocatoria se realice por intermedio de una entidad sin ánimo de lucro adscrita a esa entidad, para lo cual celebrará de manera directa el respectivo convenio. Las inversiones o donaciones que se canalicen mediante el mecanismo previsto en este artículo deberán cubrir los costos que la convocatoria demande.</w:t>
      </w:r>
    </w:p>
    <w:p w:rsidR="00AA2170" w:rsidRPr="0091704D" w:rsidRDefault="00AA2170" w:rsidP="00AA2170">
      <w:pPr>
        <w:spacing w:after="0" w:line="240" w:lineRule="auto"/>
        <w:ind w:left="-567" w:right="-799"/>
        <w:jc w:val="both"/>
        <w:rPr>
          <w:rFonts w:cs="Arial"/>
          <w:i/>
        </w:rPr>
      </w:pPr>
    </w:p>
    <w:p w:rsidR="003B065E" w:rsidRPr="0091704D" w:rsidRDefault="00E10443" w:rsidP="00AA2170">
      <w:pPr>
        <w:spacing w:after="0" w:line="240" w:lineRule="auto"/>
        <w:ind w:left="-567" w:right="-799"/>
        <w:jc w:val="both"/>
        <w:rPr>
          <w:rFonts w:cs="Arial"/>
          <w:i/>
        </w:rPr>
      </w:pPr>
      <w:r w:rsidRPr="0091704D">
        <w:rPr>
          <w:rFonts w:cs="Arial"/>
          <w:i/>
        </w:rPr>
        <w:t xml:space="preserve">PARÁGRAFO SEGUNDO. El Gobierno nacional reglamentará la materia teniendo en perspectiva las tipologías de proyectos y sectores susceptibles de ser destinatarios del incentivo, los montos máximos que pueden ser cobijados </w:t>
      </w:r>
    </w:p>
    <w:p w:rsidR="00E10443" w:rsidRPr="007F5F7D" w:rsidRDefault="00E10443" w:rsidP="007F5F7D">
      <w:pPr>
        <w:spacing w:after="0" w:line="240" w:lineRule="auto"/>
        <w:ind w:left="-567" w:right="-799"/>
        <w:jc w:val="both"/>
        <w:rPr>
          <w:rFonts w:cs="Arial"/>
          <w:i/>
        </w:rPr>
      </w:pPr>
      <w:r w:rsidRPr="0091704D">
        <w:rPr>
          <w:rFonts w:cs="Arial"/>
          <w:i/>
        </w:rPr>
        <w:t>con el mismo. En el caso de los proyectos diferentes a los de artes y patrimonio, el incentivo de que trata el presente artículo solo será aplicable para proyectos presentados por micro, pequeñas y medianas empresas.”</w:t>
      </w:r>
    </w:p>
    <w:p w:rsidR="00C93B80" w:rsidRPr="0091704D" w:rsidRDefault="00C93B80" w:rsidP="009D31E1">
      <w:pPr>
        <w:spacing w:after="0" w:line="240" w:lineRule="auto"/>
        <w:ind w:left="-567" w:right="-799"/>
        <w:jc w:val="both"/>
        <w:rPr>
          <w:rFonts w:cs="Arial"/>
        </w:rPr>
      </w:pPr>
    </w:p>
    <w:p w:rsidR="00C93B80" w:rsidRPr="0091704D" w:rsidRDefault="007F5F7D" w:rsidP="009D31E1">
      <w:pPr>
        <w:spacing w:after="0" w:line="240" w:lineRule="auto"/>
        <w:ind w:left="-567" w:right="-799"/>
        <w:jc w:val="both"/>
        <w:rPr>
          <w:rFonts w:cs="Arial"/>
        </w:rPr>
      </w:pPr>
      <w:r>
        <w:rPr>
          <w:rFonts w:cs="Arial"/>
        </w:rPr>
        <w:t>Que es pertinente reglamentar aspectos relativos a la operatividad de incentivo tributario en cuanto al monto o cupo máximo anual que le corresponde fijar al Consejo Nacional de la Economía Naranja, a las tipologías de los proyectos, al modelo de postulación, evaluación aprobación y seguimiento, entre otros.</w:t>
      </w:r>
    </w:p>
    <w:p w:rsidR="00917C03" w:rsidRDefault="00917C03" w:rsidP="009D31E1">
      <w:pPr>
        <w:spacing w:after="0" w:line="240" w:lineRule="auto"/>
        <w:ind w:left="-567" w:right="-799"/>
        <w:jc w:val="both"/>
        <w:rPr>
          <w:rFonts w:cs="Arial"/>
        </w:rPr>
      </w:pPr>
    </w:p>
    <w:p w:rsidR="00C93B80" w:rsidRDefault="00917C03" w:rsidP="009D31E1">
      <w:pPr>
        <w:spacing w:after="0" w:line="240" w:lineRule="auto"/>
        <w:ind w:left="-567" w:right="-799"/>
        <w:jc w:val="both"/>
        <w:rPr>
          <w:rFonts w:cs="Arial"/>
        </w:rPr>
      </w:pPr>
      <w:r w:rsidRPr="00917C03">
        <w:rPr>
          <w:rFonts w:cs="Arial"/>
        </w:rPr>
        <w:t>Que se encuentra cumplida la formalidad de publicación prevista en el numeral 8 del artículo 8</w:t>
      </w:r>
      <w:r>
        <w:rPr>
          <w:rFonts w:cs="Arial"/>
        </w:rPr>
        <w:t>º</w:t>
      </w:r>
      <w:r w:rsidRPr="00917C03">
        <w:rPr>
          <w:rFonts w:cs="Arial"/>
        </w:rPr>
        <w:t xml:space="preserve"> del Código de Procedimiento Administrativo y de lo Contencioso Administrativo y el Decreto 1081 de 2015 modificado por el Decreto 270 de 2017.</w:t>
      </w:r>
    </w:p>
    <w:p w:rsidR="00917C03" w:rsidRPr="0091704D" w:rsidRDefault="00917C03" w:rsidP="009D31E1">
      <w:pPr>
        <w:spacing w:after="0" w:line="240" w:lineRule="auto"/>
        <w:ind w:left="-567" w:right="-799"/>
        <w:jc w:val="both"/>
        <w:rPr>
          <w:rFonts w:cs="Arial"/>
        </w:rPr>
      </w:pPr>
    </w:p>
    <w:p w:rsidR="00CF66F3" w:rsidRPr="0091704D" w:rsidRDefault="00CF66F3" w:rsidP="009D31E1">
      <w:pPr>
        <w:spacing w:after="0" w:line="240" w:lineRule="auto"/>
        <w:ind w:left="-567" w:right="-799"/>
        <w:jc w:val="both"/>
        <w:rPr>
          <w:rFonts w:cs="Arial"/>
        </w:rPr>
      </w:pPr>
      <w:r w:rsidRPr="0091704D">
        <w:rPr>
          <w:rFonts w:cs="Arial"/>
        </w:rPr>
        <w:t xml:space="preserve">Por lo anteriormente expuesto, </w:t>
      </w:r>
    </w:p>
    <w:p w:rsidR="00CF66F3" w:rsidRPr="0091704D" w:rsidRDefault="00CF66F3" w:rsidP="00CF66F3">
      <w:pPr>
        <w:spacing w:after="0" w:line="240" w:lineRule="auto"/>
        <w:ind w:left="-567" w:right="-799"/>
        <w:rPr>
          <w:rFonts w:eastAsia="Times New Roman" w:cs="Arial"/>
          <w:b/>
          <w:lang w:eastAsia="es-ES"/>
        </w:rPr>
      </w:pPr>
    </w:p>
    <w:p w:rsidR="00CF66F3" w:rsidRPr="0091704D" w:rsidRDefault="00CF66F3" w:rsidP="00CF66F3">
      <w:pPr>
        <w:spacing w:after="0" w:line="240" w:lineRule="auto"/>
        <w:ind w:left="-567" w:right="-799"/>
        <w:jc w:val="center"/>
        <w:rPr>
          <w:rFonts w:eastAsia="Times New Roman" w:cs="Arial"/>
          <w:b/>
          <w:lang w:eastAsia="es-ES"/>
        </w:rPr>
      </w:pPr>
      <w:r w:rsidRPr="0091704D">
        <w:rPr>
          <w:rFonts w:eastAsia="Times New Roman" w:cs="Arial"/>
          <w:b/>
          <w:lang w:eastAsia="es-ES"/>
        </w:rPr>
        <w:t>DECRETA:</w:t>
      </w:r>
    </w:p>
    <w:p w:rsidR="006764C6" w:rsidRPr="0091704D" w:rsidRDefault="006764C6" w:rsidP="00CF66F3">
      <w:pPr>
        <w:spacing w:after="0" w:line="240" w:lineRule="auto"/>
        <w:ind w:left="-567" w:right="-799"/>
        <w:jc w:val="center"/>
        <w:rPr>
          <w:rFonts w:eastAsia="Times New Roman" w:cs="Arial"/>
          <w:b/>
          <w:lang w:eastAsia="es-ES"/>
        </w:rPr>
      </w:pPr>
    </w:p>
    <w:p w:rsidR="009D041E" w:rsidRPr="009D041E" w:rsidRDefault="00653998" w:rsidP="00917C03">
      <w:pPr>
        <w:spacing w:after="0" w:line="240" w:lineRule="auto"/>
        <w:ind w:left="-567" w:right="-799"/>
        <w:jc w:val="both"/>
        <w:rPr>
          <w:rFonts w:cs="Arial"/>
        </w:rPr>
      </w:pPr>
      <w:r w:rsidRPr="0091704D">
        <w:rPr>
          <w:rFonts w:eastAsia="Times New Roman" w:cs="Arial"/>
          <w:b/>
          <w:lang w:eastAsia="es-ES"/>
        </w:rPr>
        <w:t>Artículo 1º.</w:t>
      </w:r>
      <w:r w:rsidR="00071D8D" w:rsidRPr="0091704D">
        <w:rPr>
          <w:rFonts w:eastAsia="Times New Roman" w:cs="Arial"/>
          <w:b/>
          <w:lang w:eastAsia="es-ES"/>
        </w:rPr>
        <w:t xml:space="preserve"> </w:t>
      </w:r>
      <w:r w:rsidRPr="0091704D">
        <w:rPr>
          <w:rFonts w:eastAsia="Times New Roman" w:cs="Arial"/>
          <w:b/>
          <w:lang w:eastAsia="es-ES"/>
        </w:rPr>
        <w:t xml:space="preserve"> </w:t>
      </w:r>
      <w:r w:rsidR="009D041E" w:rsidRPr="009D041E">
        <w:rPr>
          <w:rFonts w:cs="Arial"/>
        </w:rPr>
        <w:t>Adiciónese un</w:t>
      </w:r>
      <w:r w:rsidR="00A561F0">
        <w:rPr>
          <w:rFonts w:cs="Arial"/>
        </w:rPr>
        <w:t>a</w:t>
      </w:r>
      <w:r w:rsidR="00236593">
        <w:rPr>
          <w:rFonts w:cs="Arial"/>
        </w:rPr>
        <w:t xml:space="preserve"> Parte XI, Título</w:t>
      </w:r>
      <w:r w:rsidR="0081072C">
        <w:rPr>
          <w:rFonts w:cs="Arial"/>
        </w:rPr>
        <w:t>s</w:t>
      </w:r>
      <w:r w:rsidR="00236593">
        <w:rPr>
          <w:rFonts w:cs="Arial"/>
        </w:rPr>
        <w:t xml:space="preserve"> </w:t>
      </w:r>
      <w:r w:rsidR="009D041E">
        <w:rPr>
          <w:rFonts w:cs="Arial"/>
        </w:rPr>
        <w:t>I</w:t>
      </w:r>
      <w:r w:rsidR="0081072C">
        <w:rPr>
          <w:rFonts w:cs="Arial"/>
        </w:rPr>
        <w:t xml:space="preserve"> y II</w:t>
      </w:r>
      <w:r w:rsidR="009D041E">
        <w:rPr>
          <w:rFonts w:cs="Arial"/>
        </w:rPr>
        <w:t>, al Libro II</w:t>
      </w:r>
      <w:r w:rsidR="009D041E" w:rsidRPr="009D041E">
        <w:rPr>
          <w:rFonts w:cs="Arial"/>
        </w:rPr>
        <w:t xml:space="preserve"> del Decreto 1080 de 2015, con el siguiente contenido:</w:t>
      </w:r>
    </w:p>
    <w:p w:rsidR="003B188B" w:rsidRDefault="003B188B" w:rsidP="00236593">
      <w:pPr>
        <w:ind w:left="-567" w:right="-799"/>
        <w:jc w:val="center"/>
        <w:rPr>
          <w:rFonts w:cs="Arial"/>
          <w:b/>
        </w:rPr>
      </w:pPr>
    </w:p>
    <w:p w:rsidR="009D041E" w:rsidRPr="009D041E" w:rsidRDefault="009D041E" w:rsidP="00236593">
      <w:pPr>
        <w:ind w:left="-567" w:right="-799"/>
        <w:jc w:val="center"/>
        <w:rPr>
          <w:rFonts w:cs="Arial"/>
          <w:b/>
        </w:rPr>
      </w:pPr>
      <w:r w:rsidRPr="009D041E">
        <w:rPr>
          <w:rFonts w:cs="Arial"/>
          <w:b/>
        </w:rPr>
        <w:t>“</w:t>
      </w:r>
      <w:r w:rsidR="00236593">
        <w:rPr>
          <w:rFonts w:cs="Arial"/>
          <w:b/>
        </w:rPr>
        <w:t>PARTE X</w:t>
      </w:r>
      <w:r w:rsidR="00265EFA">
        <w:rPr>
          <w:rFonts w:cs="Arial"/>
          <w:b/>
        </w:rPr>
        <w:t>I</w:t>
      </w:r>
    </w:p>
    <w:p w:rsidR="008D3EED" w:rsidRDefault="00236593" w:rsidP="00236593">
      <w:pPr>
        <w:ind w:left="-567" w:right="-799"/>
        <w:jc w:val="center"/>
        <w:rPr>
          <w:rFonts w:cs="Arial"/>
          <w:b/>
        </w:rPr>
      </w:pPr>
      <w:r>
        <w:rPr>
          <w:rFonts w:cs="Arial"/>
          <w:b/>
        </w:rPr>
        <w:t>ECONOMÍA CREATIVA</w:t>
      </w:r>
    </w:p>
    <w:p w:rsidR="00236593" w:rsidRDefault="00236593" w:rsidP="00236593">
      <w:pPr>
        <w:ind w:left="-567" w:right="-799"/>
        <w:jc w:val="center"/>
        <w:rPr>
          <w:rFonts w:cs="Arial"/>
          <w:b/>
        </w:rPr>
      </w:pPr>
      <w:r>
        <w:rPr>
          <w:rFonts w:cs="Arial"/>
          <w:b/>
        </w:rPr>
        <w:t>TÍTULO I</w:t>
      </w:r>
    </w:p>
    <w:p w:rsidR="0091564D" w:rsidRDefault="00236593" w:rsidP="0091564D">
      <w:pPr>
        <w:ind w:left="-567" w:right="-799"/>
        <w:jc w:val="center"/>
        <w:rPr>
          <w:rFonts w:cs="Arial"/>
          <w:b/>
        </w:rPr>
      </w:pPr>
      <w:r>
        <w:rPr>
          <w:rFonts w:cs="Arial"/>
          <w:b/>
        </w:rPr>
        <w:t>AREAS DE DESARROLLO NARANJA</w:t>
      </w:r>
    </w:p>
    <w:p w:rsidR="0081072C" w:rsidRDefault="0081072C" w:rsidP="00236593">
      <w:pPr>
        <w:ind w:left="-567" w:right="-799"/>
        <w:jc w:val="center"/>
        <w:rPr>
          <w:rFonts w:cs="Arial"/>
          <w:b/>
        </w:rPr>
      </w:pPr>
    </w:p>
    <w:p w:rsidR="0091564D" w:rsidRDefault="0091564D" w:rsidP="00236593">
      <w:pPr>
        <w:ind w:left="-567" w:right="-799"/>
        <w:jc w:val="center"/>
        <w:rPr>
          <w:rFonts w:cs="Arial"/>
          <w:b/>
        </w:rPr>
      </w:pPr>
      <w:r>
        <w:rPr>
          <w:rFonts w:cs="Arial"/>
          <w:b/>
        </w:rPr>
        <w:t>CAPÍTULO I</w:t>
      </w:r>
    </w:p>
    <w:p w:rsidR="00375599" w:rsidRPr="000B636E" w:rsidRDefault="0091564D" w:rsidP="000B636E">
      <w:pPr>
        <w:ind w:left="-567" w:right="-799"/>
        <w:jc w:val="center"/>
        <w:rPr>
          <w:rFonts w:cs="Arial"/>
          <w:b/>
        </w:rPr>
      </w:pPr>
      <w:r>
        <w:rPr>
          <w:rFonts w:cs="Arial"/>
          <w:b/>
        </w:rPr>
        <w:t>GENERALIDADES</w:t>
      </w:r>
    </w:p>
    <w:p w:rsidR="00A123EE" w:rsidRDefault="00236593" w:rsidP="00A123EE">
      <w:pPr>
        <w:ind w:left="-567" w:right="-799"/>
        <w:jc w:val="both"/>
        <w:rPr>
          <w:rFonts w:cs="Arial"/>
        </w:rPr>
      </w:pPr>
      <w:r>
        <w:rPr>
          <w:rFonts w:cs="Arial"/>
          <w:b/>
        </w:rPr>
        <w:t>Artíc</w:t>
      </w:r>
      <w:r w:rsidR="0020220D">
        <w:rPr>
          <w:rFonts w:cs="Arial"/>
          <w:b/>
        </w:rPr>
        <w:t>u</w:t>
      </w:r>
      <w:r>
        <w:rPr>
          <w:rFonts w:cs="Arial"/>
          <w:b/>
        </w:rPr>
        <w:t>lo 2.1</w:t>
      </w:r>
      <w:r w:rsidR="001950CC">
        <w:rPr>
          <w:rFonts w:cs="Arial"/>
          <w:b/>
        </w:rPr>
        <w:t>1</w:t>
      </w:r>
      <w:r>
        <w:rPr>
          <w:rFonts w:cs="Arial"/>
          <w:b/>
        </w:rPr>
        <w:t>.1.1</w:t>
      </w:r>
      <w:r w:rsidR="00375599">
        <w:rPr>
          <w:rFonts w:cs="Arial"/>
          <w:b/>
        </w:rPr>
        <w:t>.</w:t>
      </w:r>
      <w:r w:rsidR="0091564D">
        <w:rPr>
          <w:rFonts w:cs="Arial"/>
          <w:b/>
        </w:rPr>
        <w:t>1</w:t>
      </w:r>
      <w:r w:rsidR="00917C03">
        <w:rPr>
          <w:rFonts w:cs="Arial"/>
          <w:b/>
        </w:rPr>
        <w:t>.</w:t>
      </w:r>
      <w:r w:rsidR="0091564D">
        <w:rPr>
          <w:rFonts w:cs="Arial"/>
          <w:b/>
        </w:rPr>
        <w:t xml:space="preserve"> </w:t>
      </w:r>
      <w:r w:rsidR="00917C03">
        <w:rPr>
          <w:rFonts w:cs="Arial"/>
          <w:b/>
        </w:rPr>
        <w:t xml:space="preserve">Objeto. </w:t>
      </w:r>
      <w:r w:rsidR="00917C03">
        <w:rPr>
          <w:rFonts w:cs="Arial"/>
        </w:rPr>
        <w:t>E</w:t>
      </w:r>
      <w:r w:rsidR="0091564D" w:rsidRPr="001D1C9E">
        <w:rPr>
          <w:rFonts w:cs="Arial"/>
        </w:rPr>
        <w:t>ste Título reg</w:t>
      </w:r>
      <w:r w:rsidR="0091564D">
        <w:rPr>
          <w:rFonts w:cs="Arial"/>
        </w:rPr>
        <w:t xml:space="preserve">lamenta las condiciones </w:t>
      </w:r>
      <w:r w:rsidR="00917C03">
        <w:rPr>
          <w:rFonts w:cs="Arial"/>
        </w:rPr>
        <w:t>de</w:t>
      </w:r>
      <w:r w:rsidR="0091564D">
        <w:rPr>
          <w:rFonts w:cs="Arial"/>
        </w:rPr>
        <w:t xml:space="preserve"> las Áreas de Desarrollo Naranja en el territorio nacional</w:t>
      </w:r>
      <w:r w:rsidR="00917C03">
        <w:rPr>
          <w:rFonts w:cs="Arial"/>
        </w:rPr>
        <w:t xml:space="preserve">. </w:t>
      </w:r>
    </w:p>
    <w:p w:rsidR="007A08BE" w:rsidRDefault="00A123EE" w:rsidP="00A123EE">
      <w:pPr>
        <w:ind w:left="-567" w:right="-799"/>
        <w:jc w:val="both"/>
        <w:rPr>
          <w:rFonts w:cs="Arial"/>
        </w:rPr>
      </w:pPr>
      <w:r>
        <w:rPr>
          <w:rFonts w:cs="Arial"/>
          <w:b/>
        </w:rPr>
        <w:t>Artículo 2.1</w:t>
      </w:r>
      <w:r w:rsidR="0081072C">
        <w:rPr>
          <w:rFonts w:cs="Arial"/>
          <w:b/>
        </w:rPr>
        <w:t>1</w:t>
      </w:r>
      <w:r>
        <w:rPr>
          <w:rFonts w:cs="Arial"/>
          <w:b/>
        </w:rPr>
        <w:t xml:space="preserve">.1.1.2. </w:t>
      </w:r>
      <w:r w:rsidR="0091564D">
        <w:rPr>
          <w:rFonts w:cs="Arial"/>
          <w:b/>
        </w:rPr>
        <w:t xml:space="preserve">Descripción. </w:t>
      </w:r>
      <w:r w:rsidR="007A08BE">
        <w:rPr>
          <w:rFonts w:cs="Arial"/>
        </w:rPr>
        <w:t xml:space="preserve">Las </w:t>
      </w:r>
      <w:r w:rsidR="007A08BE" w:rsidRPr="007A08BE">
        <w:rPr>
          <w:rFonts w:cs="Arial"/>
        </w:rPr>
        <w:t xml:space="preserve">Áreas de Desarrollo Naranja </w:t>
      </w:r>
      <w:r w:rsidR="007A08BE">
        <w:rPr>
          <w:rFonts w:cs="Arial"/>
        </w:rPr>
        <w:t>(</w:t>
      </w:r>
      <w:r w:rsidR="007A08BE" w:rsidRPr="007A08BE">
        <w:rPr>
          <w:rFonts w:cs="Arial"/>
        </w:rPr>
        <w:t>ADN</w:t>
      </w:r>
      <w:r w:rsidR="007A08BE">
        <w:rPr>
          <w:rFonts w:cs="Arial"/>
        </w:rPr>
        <w:t>)</w:t>
      </w:r>
      <w:r w:rsidR="007A08BE" w:rsidRPr="007A08BE">
        <w:rPr>
          <w:rFonts w:cs="Arial"/>
        </w:rPr>
        <w:t xml:space="preserve"> </w:t>
      </w:r>
      <w:r w:rsidR="007A08BE">
        <w:rPr>
          <w:rFonts w:cs="Arial"/>
        </w:rPr>
        <w:t xml:space="preserve">son </w:t>
      </w:r>
      <w:r w:rsidR="007A08BE" w:rsidRPr="007A08BE">
        <w:rPr>
          <w:rFonts w:cs="Arial"/>
        </w:rPr>
        <w:t>espacios geográficos delimitados y reconocidos a través de instrumentos de ordenamiento territorial</w:t>
      </w:r>
      <w:r w:rsidR="007A08BE">
        <w:rPr>
          <w:rFonts w:cs="Arial"/>
        </w:rPr>
        <w:t>, en particular en los Planes de Ordenamiento Territorial;</w:t>
      </w:r>
      <w:r w:rsidR="007A08BE" w:rsidRPr="007A08BE">
        <w:rPr>
          <w:rFonts w:cs="Arial"/>
        </w:rPr>
        <w:t xml:space="preserve"> o</w:t>
      </w:r>
      <w:r w:rsidR="007A08BE">
        <w:rPr>
          <w:rFonts w:cs="Arial"/>
        </w:rPr>
        <w:t xml:space="preserve"> configurados mediante decisiones </w:t>
      </w:r>
      <w:r w:rsidR="007A08BE" w:rsidRPr="007A08BE">
        <w:rPr>
          <w:rFonts w:cs="Arial"/>
        </w:rPr>
        <w:t xml:space="preserve">administrativas </w:t>
      </w:r>
      <w:r w:rsidR="007A08BE">
        <w:rPr>
          <w:rFonts w:cs="Arial"/>
        </w:rPr>
        <w:t>adoptadas por la alcaldía municipal o distrital correspondiente en el respectivo municipio o distrito.</w:t>
      </w:r>
    </w:p>
    <w:p w:rsidR="005D79CB" w:rsidRDefault="00A9568A" w:rsidP="005D79CB">
      <w:pPr>
        <w:ind w:left="-567" w:right="-799"/>
        <w:jc w:val="both"/>
        <w:rPr>
          <w:rFonts w:cs="Arial"/>
        </w:rPr>
      </w:pPr>
      <w:r w:rsidRPr="00A9568A">
        <w:rPr>
          <w:rFonts w:cs="Arial"/>
          <w:b/>
        </w:rPr>
        <w:t>Artículo 2.1</w:t>
      </w:r>
      <w:r w:rsidR="0081072C">
        <w:rPr>
          <w:rFonts w:cs="Arial"/>
          <w:b/>
        </w:rPr>
        <w:t>1</w:t>
      </w:r>
      <w:r w:rsidRPr="00A9568A">
        <w:rPr>
          <w:rFonts w:cs="Arial"/>
          <w:b/>
        </w:rPr>
        <w:t>.1.1.3. Propósito de las Áreas de Desarrollo Naranja</w:t>
      </w:r>
      <w:r>
        <w:rPr>
          <w:rFonts w:cs="Arial"/>
        </w:rPr>
        <w:t xml:space="preserve">. </w:t>
      </w:r>
      <w:r w:rsidR="007A08BE">
        <w:rPr>
          <w:rFonts w:cs="Arial"/>
        </w:rPr>
        <w:t xml:space="preserve">Las ADN tienen como </w:t>
      </w:r>
      <w:r>
        <w:rPr>
          <w:rFonts w:cs="Arial"/>
        </w:rPr>
        <w:t>propósito</w:t>
      </w:r>
      <w:r w:rsidR="007A08BE">
        <w:rPr>
          <w:rFonts w:cs="Arial"/>
        </w:rPr>
        <w:t xml:space="preserve"> </w:t>
      </w:r>
      <w:r w:rsidR="007A08BE" w:rsidRPr="007A08BE">
        <w:rPr>
          <w:rFonts w:cs="Arial"/>
        </w:rPr>
        <w:t>incentivar y fortalecer las actividades culturales y creativas previstas en el artículo 2</w:t>
      </w:r>
      <w:r w:rsidR="007A08BE">
        <w:rPr>
          <w:rFonts w:cs="Arial"/>
        </w:rPr>
        <w:t xml:space="preserve">º </w:t>
      </w:r>
      <w:r w:rsidR="007A08BE" w:rsidRPr="007A08BE">
        <w:rPr>
          <w:rFonts w:cs="Arial"/>
        </w:rPr>
        <w:t>de la Ley 1834 de 2017</w:t>
      </w:r>
      <w:r>
        <w:rPr>
          <w:rFonts w:cs="Arial"/>
        </w:rPr>
        <w:t xml:space="preserve">, en </w:t>
      </w:r>
      <w:r w:rsidR="005D79CB">
        <w:rPr>
          <w:rFonts w:cs="Arial"/>
        </w:rPr>
        <w:t>sectores como los</w:t>
      </w:r>
      <w:r w:rsidR="005D79CB" w:rsidRPr="005D79CB">
        <w:rPr>
          <w:rFonts w:cs="Arial"/>
        </w:rPr>
        <w:t xml:space="preserve"> editoriales, audiovisuales, fonográficos, artes visuales, artes</w:t>
      </w:r>
      <w:r w:rsidR="005D79CB">
        <w:rPr>
          <w:rFonts w:cs="Arial"/>
        </w:rPr>
        <w:t xml:space="preserve"> </w:t>
      </w:r>
      <w:r w:rsidR="005D79CB" w:rsidRPr="005D79CB">
        <w:rPr>
          <w:rFonts w:cs="Arial"/>
        </w:rPr>
        <w:t>escénicas y espectáculos, de turismo y patrimonio cultural material e inmaterial,</w:t>
      </w:r>
      <w:r w:rsidR="005D79CB">
        <w:rPr>
          <w:rFonts w:cs="Arial"/>
        </w:rPr>
        <w:t xml:space="preserve"> </w:t>
      </w:r>
      <w:r w:rsidR="005D79CB" w:rsidRPr="005D79CB">
        <w:rPr>
          <w:rFonts w:cs="Arial"/>
        </w:rPr>
        <w:t>educación artística y cultural, diseño, publicidad, contenidos multimedia,</w:t>
      </w:r>
      <w:r w:rsidR="005D79CB">
        <w:rPr>
          <w:rFonts w:cs="Arial"/>
        </w:rPr>
        <w:t xml:space="preserve"> </w:t>
      </w:r>
      <w:r w:rsidR="005D79CB" w:rsidRPr="005D79CB">
        <w:rPr>
          <w:rFonts w:cs="Arial"/>
        </w:rPr>
        <w:t>software de contenidos y servicios audiovisuales interactivos, moda, agencias</w:t>
      </w:r>
      <w:r w:rsidR="005D79CB">
        <w:rPr>
          <w:rFonts w:cs="Arial"/>
        </w:rPr>
        <w:t xml:space="preserve"> </w:t>
      </w:r>
      <w:r w:rsidR="005D79CB" w:rsidRPr="005D79CB">
        <w:rPr>
          <w:rFonts w:cs="Arial"/>
        </w:rPr>
        <w:t>de noticias y servicios de información, y educación creativa</w:t>
      </w:r>
      <w:r w:rsidR="00AC4F66">
        <w:rPr>
          <w:rFonts w:cs="Arial"/>
        </w:rPr>
        <w:t xml:space="preserve">. </w:t>
      </w:r>
    </w:p>
    <w:p w:rsidR="000B636E" w:rsidRPr="00265EFA" w:rsidRDefault="007A08BE" w:rsidP="005D79CB">
      <w:pPr>
        <w:ind w:left="-567" w:right="-799"/>
        <w:jc w:val="both"/>
        <w:rPr>
          <w:rFonts w:cs="Arial"/>
        </w:rPr>
      </w:pPr>
      <w:r>
        <w:rPr>
          <w:rFonts w:cs="Arial"/>
        </w:rPr>
        <w:t xml:space="preserve">Mediante </w:t>
      </w:r>
      <w:r w:rsidR="00AC4F66">
        <w:rPr>
          <w:rFonts w:cs="Arial"/>
        </w:rPr>
        <w:t>estas</w:t>
      </w:r>
      <w:r>
        <w:rPr>
          <w:rFonts w:cs="Arial"/>
        </w:rPr>
        <w:t xml:space="preserve"> actividades </w:t>
      </w:r>
      <w:r w:rsidR="00CB3659">
        <w:rPr>
          <w:rFonts w:cs="Arial"/>
        </w:rPr>
        <w:t xml:space="preserve">las ADN </w:t>
      </w:r>
      <w:r w:rsidR="005D79CB">
        <w:rPr>
          <w:rFonts w:cs="Arial"/>
        </w:rPr>
        <w:t xml:space="preserve">deberán operar </w:t>
      </w:r>
      <w:r w:rsidRPr="007A08BE">
        <w:rPr>
          <w:rFonts w:cs="Arial"/>
        </w:rPr>
        <w:t>como centros de actividad económica y creativa, contribuyen</w:t>
      </w:r>
      <w:r>
        <w:rPr>
          <w:rFonts w:cs="Arial"/>
        </w:rPr>
        <w:t>tes</w:t>
      </w:r>
      <w:r w:rsidRPr="007A08BE">
        <w:rPr>
          <w:rFonts w:cs="Arial"/>
        </w:rPr>
        <w:t xml:space="preserve"> a la renovación urbana y al mejoramiento del área de ubicación</w:t>
      </w:r>
      <w:r>
        <w:rPr>
          <w:rFonts w:cs="Arial"/>
        </w:rPr>
        <w:t xml:space="preserve">, al </w:t>
      </w:r>
      <w:r w:rsidRPr="007A08BE">
        <w:rPr>
          <w:rFonts w:cs="Arial"/>
        </w:rPr>
        <w:t>emprendimiento, el empleo, el turismo, la recuperación del patrimonio cultural construido, la conservación medioambiental, la transferencia de conocimientos, el sentido de pertenencia, la inclusión social y el acceso ciudadano a la oferta cultural y creativa.</w:t>
      </w:r>
      <w:r w:rsidR="007B112A">
        <w:rPr>
          <w:rFonts w:cs="Arial"/>
        </w:rPr>
        <w:t xml:space="preserve"> </w:t>
      </w:r>
    </w:p>
    <w:p w:rsidR="003101B2" w:rsidRDefault="00DC000C" w:rsidP="003101B2">
      <w:pPr>
        <w:ind w:left="-567" w:right="-799"/>
        <w:jc w:val="both"/>
        <w:rPr>
          <w:rFonts w:cs="Arial"/>
        </w:rPr>
      </w:pPr>
      <w:r w:rsidRPr="00DC000C">
        <w:rPr>
          <w:rFonts w:cs="Arial"/>
          <w:b/>
        </w:rPr>
        <w:t>Artículo 2.1</w:t>
      </w:r>
      <w:r w:rsidR="0081072C">
        <w:rPr>
          <w:rFonts w:cs="Arial"/>
          <w:b/>
        </w:rPr>
        <w:t>1</w:t>
      </w:r>
      <w:r w:rsidRPr="00DC000C">
        <w:rPr>
          <w:rFonts w:cs="Arial"/>
          <w:b/>
        </w:rPr>
        <w:t>.1.1.</w:t>
      </w:r>
      <w:r w:rsidR="003101B2">
        <w:rPr>
          <w:rFonts w:cs="Arial"/>
          <w:b/>
        </w:rPr>
        <w:t>4</w:t>
      </w:r>
      <w:r>
        <w:rPr>
          <w:rFonts w:cs="Arial"/>
        </w:rPr>
        <w:t>.</w:t>
      </w:r>
      <w:r w:rsidR="002E494D" w:rsidRPr="002E494D">
        <w:rPr>
          <w:rFonts w:cs="Arial"/>
          <w:b/>
        </w:rPr>
        <w:t xml:space="preserve"> Caracterización</w:t>
      </w:r>
      <w:r w:rsidR="00075E35">
        <w:rPr>
          <w:rFonts w:cs="Arial"/>
          <w:b/>
        </w:rPr>
        <w:t xml:space="preserve"> sectorial</w:t>
      </w:r>
      <w:r w:rsidR="002E494D">
        <w:rPr>
          <w:rFonts w:cs="Arial"/>
        </w:rPr>
        <w:t xml:space="preserve">. </w:t>
      </w:r>
      <w:r w:rsidR="003101B2">
        <w:rPr>
          <w:rFonts w:cs="Arial"/>
        </w:rPr>
        <w:t xml:space="preserve">Los sectores enunciados en el artículo anterior comprenden </w:t>
      </w:r>
      <w:r w:rsidR="00845F24" w:rsidRPr="00CB3659">
        <w:rPr>
          <w:rFonts w:cs="Arial"/>
        </w:rPr>
        <w:t>campos macro de acción artística y cultural involucran a título enunciativo, cine, tv, videojuegos, animación, publicidad, publicidad digital, música, producción de contenidos digitales, medios de comunicación, así como la cadena de valor desde los procesos de formación, creación, desarrollo, producción, postproducción, circulación, distribución hasta la comunicación pública de los bienes, servicios, obras o contenidos respectivos</w:t>
      </w:r>
      <w:r w:rsidR="00845F24">
        <w:rPr>
          <w:rFonts w:cs="Arial"/>
        </w:rPr>
        <w:t>.</w:t>
      </w:r>
    </w:p>
    <w:p w:rsidR="00AC4F66" w:rsidRDefault="00845F24" w:rsidP="003101B2">
      <w:pPr>
        <w:ind w:left="-567" w:right="-799"/>
        <w:jc w:val="both"/>
        <w:rPr>
          <w:rFonts w:cs="Arial"/>
        </w:rPr>
      </w:pPr>
      <w:r>
        <w:rPr>
          <w:rFonts w:cs="Arial"/>
        </w:rPr>
        <w:t xml:space="preserve">Cada ADN puede focalizarse en una de estas actividades o </w:t>
      </w:r>
      <w:r w:rsidR="009F3C94">
        <w:rPr>
          <w:rFonts w:cs="Arial"/>
        </w:rPr>
        <w:t xml:space="preserve">tener carácter </w:t>
      </w:r>
      <w:r w:rsidR="00075E35">
        <w:rPr>
          <w:rFonts w:cs="Arial"/>
        </w:rPr>
        <w:t xml:space="preserve">intersectorial </w:t>
      </w:r>
      <w:r w:rsidR="009F3C94">
        <w:rPr>
          <w:rFonts w:cs="Arial"/>
        </w:rPr>
        <w:t>cuando involucre</w:t>
      </w:r>
      <w:r>
        <w:rPr>
          <w:rFonts w:cs="Arial"/>
        </w:rPr>
        <w:t xml:space="preserve"> varias. </w:t>
      </w:r>
    </w:p>
    <w:p w:rsidR="009C3FEF" w:rsidRDefault="00D55807" w:rsidP="00D55807">
      <w:pPr>
        <w:ind w:left="-567" w:right="-799"/>
        <w:jc w:val="both"/>
        <w:rPr>
          <w:rFonts w:cs="Arial"/>
        </w:rPr>
      </w:pPr>
      <w:r w:rsidRPr="00D55807">
        <w:rPr>
          <w:rFonts w:cs="Arial"/>
          <w:b/>
        </w:rPr>
        <w:t>Artículo 2.11.1.1.</w:t>
      </w:r>
      <w:r w:rsidR="003101B2">
        <w:rPr>
          <w:rFonts w:cs="Arial"/>
          <w:b/>
        </w:rPr>
        <w:t>5</w:t>
      </w:r>
      <w:r w:rsidRPr="00D55807">
        <w:rPr>
          <w:rFonts w:cs="Arial"/>
          <w:b/>
        </w:rPr>
        <w:t>. Caracterización espacial</w:t>
      </w:r>
      <w:r>
        <w:rPr>
          <w:rFonts w:cs="Arial"/>
        </w:rPr>
        <w:t xml:space="preserve">. Las ADN </w:t>
      </w:r>
      <w:r w:rsidR="009C3FEF">
        <w:rPr>
          <w:rFonts w:cs="Arial"/>
        </w:rPr>
        <w:t>pueden constituirse como una zona geográfica o delimitarse en una edificación, así:</w:t>
      </w:r>
    </w:p>
    <w:p w:rsidR="009C3FEF" w:rsidRDefault="009C3FEF" w:rsidP="003D1057">
      <w:pPr>
        <w:pStyle w:val="Prrafodelista"/>
        <w:numPr>
          <w:ilvl w:val="0"/>
          <w:numId w:val="11"/>
        </w:numPr>
        <w:ind w:right="-799"/>
        <w:jc w:val="both"/>
        <w:rPr>
          <w:rFonts w:cs="Arial"/>
        </w:rPr>
      </w:pPr>
      <w:r>
        <w:rPr>
          <w:rFonts w:cs="Arial"/>
        </w:rPr>
        <w:t xml:space="preserve">Espacios geográficos delimitados </w:t>
      </w:r>
      <w:r w:rsidRPr="009C3FEF">
        <w:rPr>
          <w:rFonts w:cs="Arial"/>
        </w:rPr>
        <w:t>a través de instrumentos de ordenamiento territorial o decisiones administrativas de la entidad territorial</w:t>
      </w:r>
      <w:r>
        <w:rPr>
          <w:rFonts w:cs="Arial"/>
        </w:rPr>
        <w:t>.</w:t>
      </w:r>
    </w:p>
    <w:p w:rsidR="008F2A60" w:rsidRDefault="008F2A60" w:rsidP="008F2A60">
      <w:pPr>
        <w:pStyle w:val="Prrafodelista"/>
        <w:ind w:left="-207" w:right="-799"/>
        <w:jc w:val="both"/>
        <w:rPr>
          <w:rFonts w:cs="Arial"/>
        </w:rPr>
      </w:pPr>
    </w:p>
    <w:p w:rsidR="008952E5" w:rsidRPr="00CA1842" w:rsidRDefault="009C3FEF" w:rsidP="003D1057">
      <w:pPr>
        <w:pStyle w:val="Prrafodelista"/>
        <w:numPr>
          <w:ilvl w:val="0"/>
          <w:numId w:val="11"/>
        </w:numPr>
        <w:ind w:right="-799"/>
        <w:jc w:val="both"/>
        <w:rPr>
          <w:rFonts w:cs="Arial"/>
        </w:rPr>
      </w:pPr>
      <w:r>
        <w:rPr>
          <w:rFonts w:cs="Arial"/>
        </w:rPr>
        <w:t>Espacios circunscritos a inmuebles determinados que hubieran sido declarados como Bien de Interés Cultural del ámbito nacional o territorial en el ca</w:t>
      </w:r>
      <w:r w:rsidR="00BF50B7">
        <w:rPr>
          <w:rFonts w:cs="Arial"/>
        </w:rPr>
        <w:t xml:space="preserve">tegoría </w:t>
      </w:r>
      <w:r>
        <w:rPr>
          <w:rFonts w:cs="Arial"/>
        </w:rPr>
        <w:t>de</w:t>
      </w:r>
      <w:r w:rsidR="00BF50B7">
        <w:rPr>
          <w:rFonts w:cs="Arial"/>
        </w:rPr>
        <w:t>l</w:t>
      </w:r>
      <w:r>
        <w:rPr>
          <w:rFonts w:cs="Arial"/>
        </w:rPr>
        <w:t xml:space="preserve"> Grupo Urbano </w:t>
      </w:r>
      <w:r w:rsidR="00953769">
        <w:rPr>
          <w:rFonts w:cs="Arial"/>
        </w:rPr>
        <w:t>–</w:t>
      </w:r>
      <w:r>
        <w:rPr>
          <w:rFonts w:cs="Arial"/>
        </w:rPr>
        <w:t xml:space="preserve"> </w:t>
      </w:r>
      <w:r w:rsidR="00953769">
        <w:rPr>
          <w:rFonts w:cs="Arial"/>
        </w:rPr>
        <w:t>Sector Urbano (fracción del territorio de una población dotada de fisionomía, características y de rasgos distintivos que le confieran cierta unidad y particularidad)</w:t>
      </w:r>
      <w:r>
        <w:rPr>
          <w:rFonts w:cs="Arial"/>
        </w:rPr>
        <w:t>, o del Grupo Arquitectónico</w:t>
      </w:r>
      <w:r w:rsidR="001E2ADC">
        <w:rPr>
          <w:rFonts w:cs="Arial"/>
        </w:rPr>
        <w:t xml:space="preserve"> (construcciones de arquitectura habitacional, institucional, comercial, industrial, militar, religiosa, o para el transporte y obras de energía)</w:t>
      </w:r>
      <w:r>
        <w:rPr>
          <w:rFonts w:cs="Arial"/>
        </w:rPr>
        <w:t xml:space="preserve">, según la caracterización descrita en el artículo </w:t>
      </w:r>
      <w:r w:rsidR="008F2A60">
        <w:rPr>
          <w:rFonts w:cs="Arial"/>
        </w:rPr>
        <w:t xml:space="preserve">2.4.1.1.2 </w:t>
      </w:r>
      <w:r>
        <w:rPr>
          <w:rFonts w:cs="Arial"/>
        </w:rPr>
        <w:t>de este decreto.</w:t>
      </w:r>
      <w:r w:rsidR="00BF50B7" w:rsidRPr="00BF50B7">
        <w:t xml:space="preserve"> </w:t>
      </w:r>
      <w:r w:rsidR="00D527F1">
        <w:t xml:space="preserve">Se requiere en este último caso que la declaratoria contemple la zona de influencia del BIC y que este </w:t>
      </w:r>
      <w:r w:rsidR="005710CA" w:rsidRPr="005710CA">
        <w:t>dinamice una propuesta a nivel económico, social y cultural que impacte su área de influencia o en área geográfica específica</w:t>
      </w:r>
      <w:r w:rsidR="002A6A3B">
        <w:t>.</w:t>
      </w:r>
    </w:p>
    <w:p w:rsidR="0081072C" w:rsidRDefault="002A6A3B" w:rsidP="0081072C">
      <w:pPr>
        <w:ind w:left="-567" w:right="-799"/>
        <w:jc w:val="both"/>
        <w:rPr>
          <w:rFonts w:cs="Arial"/>
          <w:b/>
        </w:rPr>
      </w:pPr>
      <w:r>
        <w:rPr>
          <w:rFonts w:cs="Arial"/>
          <w:b/>
        </w:rPr>
        <w:t xml:space="preserve">Parágrafo. </w:t>
      </w:r>
      <w:r w:rsidRPr="002A6A3B">
        <w:rPr>
          <w:rFonts w:cs="Arial"/>
        </w:rPr>
        <w:t>Si el bien o conjunto de bienes contare con un Plan Especial de Manejo y Protección</w:t>
      </w:r>
      <w:r w:rsidR="006F64B7">
        <w:rPr>
          <w:rFonts w:cs="Arial"/>
        </w:rPr>
        <w:t xml:space="preserve"> (PEMP)</w:t>
      </w:r>
      <w:r w:rsidRPr="002A6A3B">
        <w:rPr>
          <w:rFonts w:cs="Arial"/>
        </w:rPr>
        <w:t xml:space="preserve"> la definición de la ADN deberá preservar los lineamientos allí establecidos. En todo caso, el respectivo PEMP puede revisarse siguiendo el procedimiento fijado en la ley y este decreto en función de apoyar la vocación de la</w:t>
      </w:r>
      <w:r w:rsidR="00F813FC">
        <w:rPr>
          <w:rFonts w:cs="Arial"/>
        </w:rPr>
        <w:t xml:space="preserve"> respectiva</w:t>
      </w:r>
      <w:r w:rsidRPr="002A6A3B">
        <w:rPr>
          <w:rFonts w:cs="Arial"/>
        </w:rPr>
        <w:t xml:space="preserve"> ADN.</w:t>
      </w:r>
      <w:r>
        <w:rPr>
          <w:rFonts w:cs="Arial"/>
          <w:b/>
        </w:rPr>
        <w:t xml:space="preserve">  </w:t>
      </w:r>
    </w:p>
    <w:p w:rsidR="008F2A60" w:rsidRPr="0081072C" w:rsidRDefault="008F2A60" w:rsidP="0081072C">
      <w:pPr>
        <w:ind w:left="-567" w:right="-799"/>
        <w:jc w:val="both"/>
        <w:rPr>
          <w:rFonts w:cs="Arial"/>
          <w:b/>
        </w:rPr>
      </w:pPr>
      <w:r w:rsidRPr="008952E5">
        <w:rPr>
          <w:rFonts w:cs="Arial"/>
          <w:b/>
        </w:rPr>
        <w:t>Artículo 2.11.1.1.</w:t>
      </w:r>
      <w:r w:rsidR="0085753F">
        <w:rPr>
          <w:rFonts w:cs="Arial"/>
          <w:b/>
        </w:rPr>
        <w:t>6</w:t>
      </w:r>
      <w:r w:rsidRPr="008952E5">
        <w:rPr>
          <w:rFonts w:cs="Arial"/>
          <w:b/>
        </w:rPr>
        <w:t>. Autonomía territorial</w:t>
      </w:r>
      <w:r w:rsidRPr="008952E5">
        <w:rPr>
          <w:rFonts w:cs="Arial"/>
        </w:rPr>
        <w:t>. El modelo de estímulo a las ADN no limita o condiciona en modo alguno la autonomía y competencias de las entidades territoriales en materia de ordenamiento territorial.</w:t>
      </w:r>
    </w:p>
    <w:p w:rsidR="0085753F" w:rsidRDefault="0085753F" w:rsidP="000B636E">
      <w:pPr>
        <w:ind w:left="-567" w:right="-799"/>
        <w:jc w:val="both"/>
        <w:rPr>
          <w:rFonts w:cs="Arial"/>
        </w:rPr>
      </w:pPr>
    </w:p>
    <w:p w:rsidR="0085753F" w:rsidRDefault="0085753F" w:rsidP="000B636E">
      <w:pPr>
        <w:ind w:left="-567" w:right="-799"/>
        <w:jc w:val="both"/>
        <w:rPr>
          <w:rFonts w:cs="Arial"/>
        </w:rPr>
      </w:pPr>
    </w:p>
    <w:p w:rsidR="00D0799B" w:rsidRDefault="00D0799B" w:rsidP="000B636E">
      <w:pPr>
        <w:ind w:left="-567" w:right="-799"/>
        <w:jc w:val="both"/>
        <w:rPr>
          <w:rFonts w:cs="Arial"/>
        </w:rPr>
      </w:pPr>
    </w:p>
    <w:p w:rsidR="00D0799B" w:rsidRDefault="00D0799B" w:rsidP="000B636E">
      <w:pPr>
        <w:ind w:left="-567" w:right="-799"/>
        <w:jc w:val="both"/>
        <w:rPr>
          <w:rFonts w:cs="Arial"/>
        </w:rPr>
      </w:pPr>
    </w:p>
    <w:p w:rsidR="0081072C" w:rsidRDefault="0081072C" w:rsidP="000B636E">
      <w:pPr>
        <w:ind w:left="-567" w:right="-799"/>
        <w:jc w:val="both"/>
        <w:rPr>
          <w:rFonts w:cs="Arial"/>
        </w:rPr>
      </w:pPr>
    </w:p>
    <w:p w:rsidR="008952E5" w:rsidRDefault="008952E5" w:rsidP="000B636E">
      <w:pPr>
        <w:ind w:left="-567" w:right="-799"/>
        <w:jc w:val="both"/>
        <w:rPr>
          <w:rFonts w:cs="Arial"/>
        </w:rPr>
      </w:pPr>
      <w:r w:rsidRPr="008952E5">
        <w:rPr>
          <w:rFonts w:cs="Arial"/>
        </w:rPr>
        <w:t>Las decisiones de ordenamiento del suelo, desarrollo de espacios, obras o de asignación de estímulos o beneficios locales, entre otras, son autónomas de las autoridades municipales o distritales conforme a las leyes sobre la materia.</w:t>
      </w:r>
    </w:p>
    <w:p w:rsidR="008952E5" w:rsidRDefault="0085753F" w:rsidP="008952E5">
      <w:pPr>
        <w:ind w:left="-567" w:right="-799"/>
        <w:jc w:val="both"/>
        <w:rPr>
          <w:rFonts w:cs="Arial"/>
        </w:rPr>
      </w:pPr>
      <w:r>
        <w:rPr>
          <w:rFonts w:cs="Arial"/>
        </w:rPr>
        <w:t>L</w:t>
      </w:r>
      <w:r w:rsidR="008952E5" w:rsidRPr="008952E5">
        <w:rPr>
          <w:rFonts w:cs="Arial"/>
        </w:rPr>
        <w:t>as ADN que se creen al amparo del artículo 1</w:t>
      </w:r>
      <w:r w:rsidR="00293826">
        <w:rPr>
          <w:rFonts w:cs="Arial"/>
        </w:rPr>
        <w:t>79</w:t>
      </w:r>
      <w:r w:rsidR="008952E5" w:rsidRPr="008952E5">
        <w:rPr>
          <w:rFonts w:cs="Arial"/>
        </w:rPr>
        <w:t xml:space="preserve">º de la Ley 1955 de 2019 </w:t>
      </w:r>
      <w:r>
        <w:rPr>
          <w:rFonts w:cs="Arial"/>
        </w:rPr>
        <w:t xml:space="preserve">pueden ser </w:t>
      </w:r>
      <w:r w:rsidR="008952E5" w:rsidRPr="008952E5">
        <w:rPr>
          <w:rFonts w:cs="Arial"/>
        </w:rPr>
        <w:t>distrito</w:t>
      </w:r>
      <w:r>
        <w:rPr>
          <w:rFonts w:cs="Arial"/>
        </w:rPr>
        <w:t>s</w:t>
      </w:r>
      <w:r w:rsidR="008952E5" w:rsidRPr="008952E5">
        <w:rPr>
          <w:rFonts w:cs="Arial"/>
        </w:rPr>
        <w:t xml:space="preserve"> creativo</w:t>
      </w:r>
      <w:r>
        <w:rPr>
          <w:rFonts w:cs="Arial"/>
        </w:rPr>
        <w:t>s</w:t>
      </w:r>
      <w:r w:rsidR="008952E5" w:rsidRPr="008952E5">
        <w:rPr>
          <w:rFonts w:cs="Arial"/>
        </w:rPr>
        <w:t>, distrito</w:t>
      </w:r>
      <w:r>
        <w:rPr>
          <w:rFonts w:cs="Arial"/>
        </w:rPr>
        <w:t>s</w:t>
      </w:r>
      <w:r w:rsidR="008952E5" w:rsidRPr="008952E5">
        <w:rPr>
          <w:rFonts w:cs="Arial"/>
        </w:rPr>
        <w:t xml:space="preserve"> cultural</w:t>
      </w:r>
      <w:r>
        <w:rPr>
          <w:rFonts w:cs="Arial"/>
        </w:rPr>
        <w:t>es</w:t>
      </w:r>
      <w:r w:rsidR="008952E5" w:rsidRPr="008952E5">
        <w:rPr>
          <w:rFonts w:cs="Arial"/>
        </w:rPr>
        <w:t>, distrito en algún campo específico de las artes o la creatividad, fábrica o espacio cultural o cualquier otro que autónomamente se decida.</w:t>
      </w:r>
      <w:r>
        <w:rPr>
          <w:rFonts w:cs="Arial"/>
        </w:rPr>
        <w:t xml:space="preserve"> Se procurará, para efectos de los estímulos nacionales, que estén precedidas de la </w:t>
      </w:r>
      <w:r w:rsidR="00D527F1">
        <w:rPr>
          <w:rFonts w:cs="Arial"/>
        </w:rPr>
        <w:t>denominación Área de Desarrollo Naranja (ADN)</w:t>
      </w:r>
      <w:r>
        <w:rPr>
          <w:rFonts w:cs="Arial"/>
        </w:rPr>
        <w:t>.</w:t>
      </w:r>
    </w:p>
    <w:p w:rsidR="00CC4AD7" w:rsidRDefault="0085753F" w:rsidP="00CC4AD7">
      <w:pPr>
        <w:ind w:left="-567" w:right="-799"/>
        <w:jc w:val="both"/>
        <w:rPr>
          <w:rFonts w:cs="Arial"/>
        </w:rPr>
      </w:pPr>
      <w:r>
        <w:rPr>
          <w:rFonts w:cs="Arial"/>
        </w:rPr>
        <w:t>D</w:t>
      </w:r>
      <w:r w:rsidR="008F2A60">
        <w:rPr>
          <w:rFonts w:cs="Arial"/>
        </w:rPr>
        <w:t>e acuerdo con las facultades que otorga el artículo 1</w:t>
      </w:r>
      <w:r w:rsidR="00293826">
        <w:rPr>
          <w:rFonts w:cs="Arial"/>
        </w:rPr>
        <w:t>7</w:t>
      </w:r>
      <w:r w:rsidR="004A379E">
        <w:rPr>
          <w:rFonts w:cs="Arial"/>
        </w:rPr>
        <w:t>9</w:t>
      </w:r>
      <w:r w:rsidR="008F2A60">
        <w:rPr>
          <w:rFonts w:cs="Arial"/>
        </w:rPr>
        <w:t xml:space="preserve">º de la ley 1955 de 2019 las instancias territoriales competentes podrán promover allí </w:t>
      </w:r>
      <w:r w:rsidR="008F2A60" w:rsidRPr="008F2A60">
        <w:rPr>
          <w:rFonts w:cs="Arial"/>
        </w:rPr>
        <w:t>la exención de un porcentaje del impuesto predial</w:t>
      </w:r>
      <w:r w:rsidR="00F2273E" w:rsidRPr="00F2273E">
        <w:rPr>
          <w:rFonts w:cs="Arial"/>
        </w:rPr>
        <w:t>, la exención de un porcentaje del impuesto por la compra o venta de inmuebles y la exención del pago del impuesto de delineación urbana</w:t>
      </w:r>
      <w:r w:rsidR="00F2273E">
        <w:rPr>
          <w:rFonts w:cs="Arial"/>
        </w:rPr>
        <w:t xml:space="preserve"> y de otros impuestos territoriales, por el tiempo que cada entidad territorial defina</w:t>
      </w:r>
      <w:r w:rsidR="00F2273E" w:rsidRPr="00F2273E">
        <w:rPr>
          <w:rFonts w:cs="Arial"/>
        </w:rPr>
        <w:t>.</w:t>
      </w:r>
    </w:p>
    <w:p w:rsidR="00D0799B" w:rsidRDefault="00293826" w:rsidP="00D0799B">
      <w:pPr>
        <w:ind w:left="-567" w:right="-799"/>
        <w:jc w:val="both"/>
        <w:rPr>
          <w:rFonts w:cs="Arial"/>
        </w:rPr>
      </w:pPr>
      <w:r w:rsidRPr="00B71954">
        <w:rPr>
          <w:rFonts w:cs="Arial"/>
          <w:b/>
        </w:rPr>
        <w:t>Artículo 2.1</w:t>
      </w:r>
      <w:r w:rsidR="0081072C">
        <w:rPr>
          <w:rFonts w:cs="Arial"/>
          <w:b/>
        </w:rPr>
        <w:t>1</w:t>
      </w:r>
      <w:r w:rsidRPr="00B71954">
        <w:rPr>
          <w:rFonts w:cs="Arial"/>
          <w:b/>
        </w:rPr>
        <w:t>.1.</w:t>
      </w:r>
      <w:r w:rsidR="00E63B84">
        <w:rPr>
          <w:rFonts w:cs="Arial"/>
          <w:b/>
        </w:rPr>
        <w:t>1</w:t>
      </w:r>
      <w:r w:rsidRPr="00B71954">
        <w:rPr>
          <w:rFonts w:cs="Arial"/>
          <w:b/>
        </w:rPr>
        <w:t>.</w:t>
      </w:r>
      <w:r w:rsidR="000E22EA">
        <w:rPr>
          <w:rFonts w:cs="Arial"/>
          <w:b/>
        </w:rPr>
        <w:t>7</w:t>
      </w:r>
      <w:r>
        <w:rPr>
          <w:rFonts w:cs="Arial"/>
        </w:rPr>
        <w:t xml:space="preserve">. </w:t>
      </w:r>
      <w:r>
        <w:rPr>
          <w:rFonts w:cs="Arial"/>
          <w:b/>
        </w:rPr>
        <w:t xml:space="preserve">Constitución </w:t>
      </w:r>
      <w:r w:rsidR="00DA011B">
        <w:rPr>
          <w:rFonts w:cs="Arial"/>
          <w:b/>
        </w:rPr>
        <w:t xml:space="preserve">e identificación </w:t>
      </w:r>
      <w:r>
        <w:rPr>
          <w:rFonts w:cs="Arial"/>
          <w:b/>
        </w:rPr>
        <w:t>de ADN</w:t>
      </w:r>
      <w:r>
        <w:rPr>
          <w:rFonts w:cs="Arial"/>
        </w:rPr>
        <w:t xml:space="preserve">. </w:t>
      </w:r>
      <w:r>
        <w:rPr>
          <w:rFonts w:cs="Arial"/>
          <w:b/>
        </w:rPr>
        <w:t xml:space="preserve"> </w:t>
      </w:r>
      <w:r w:rsidR="00D0799B" w:rsidRPr="00D0799B">
        <w:rPr>
          <w:rFonts w:cs="Arial"/>
        </w:rPr>
        <w:t>La constitución e identificación precisa de las áreas de desarrollo naranja –ADN está comprendida dentro de la órbita de competencia de las entidades territoriales, conforme con las iniciativas de los particulares, las entidades públicas y las asociaciones público privadas.</w:t>
      </w:r>
    </w:p>
    <w:p w:rsidR="00CC4AD7" w:rsidRDefault="00D0799B" w:rsidP="006F64B7">
      <w:pPr>
        <w:ind w:left="-567" w:right="-799"/>
        <w:jc w:val="both"/>
        <w:rPr>
          <w:rFonts w:cs="Arial"/>
        </w:rPr>
      </w:pPr>
      <w:r w:rsidRPr="00D0799B">
        <w:rPr>
          <w:rFonts w:cs="Arial"/>
          <w:b/>
        </w:rPr>
        <w:t>Artículo 2.1</w:t>
      </w:r>
      <w:r w:rsidR="0081072C">
        <w:rPr>
          <w:rFonts w:cs="Arial"/>
          <w:b/>
        </w:rPr>
        <w:t>1</w:t>
      </w:r>
      <w:r w:rsidRPr="00D0799B">
        <w:rPr>
          <w:rFonts w:cs="Arial"/>
          <w:b/>
        </w:rPr>
        <w:t>.1.1.</w:t>
      </w:r>
      <w:r w:rsidR="000E22EA">
        <w:rPr>
          <w:rFonts w:cs="Arial"/>
          <w:b/>
        </w:rPr>
        <w:t>8</w:t>
      </w:r>
      <w:r w:rsidRPr="00D0799B">
        <w:rPr>
          <w:rFonts w:cs="Arial"/>
          <w:b/>
        </w:rPr>
        <w:t>. Guía metodológica</w:t>
      </w:r>
      <w:r>
        <w:rPr>
          <w:rFonts w:cs="Arial"/>
        </w:rPr>
        <w:t>. E</w:t>
      </w:r>
      <w:r w:rsidR="00293826" w:rsidRPr="00D0799B">
        <w:rPr>
          <w:rFonts w:cs="Arial"/>
        </w:rPr>
        <w:t xml:space="preserve">l Ministerio de Cultura establecerá una Guía Metodológica de conformación de ADN con el objeto de </w:t>
      </w:r>
      <w:r w:rsidR="00E63B84" w:rsidRPr="00D0799B">
        <w:rPr>
          <w:rFonts w:cs="Arial"/>
        </w:rPr>
        <w:t>informa</w:t>
      </w:r>
      <w:r w:rsidR="00F2273E">
        <w:rPr>
          <w:rFonts w:cs="Arial"/>
        </w:rPr>
        <w:t>r</w:t>
      </w:r>
      <w:r w:rsidR="00E63B84" w:rsidRPr="00D0799B">
        <w:rPr>
          <w:rFonts w:cs="Arial"/>
        </w:rPr>
        <w:t xml:space="preserve"> a los interesados y a las entidades territoriales sobre los alcances y beneficios de este mecanismo.</w:t>
      </w:r>
    </w:p>
    <w:p w:rsidR="006F64B7" w:rsidRPr="007A08BE" w:rsidRDefault="006F64B7" w:rsidP="006F64B7">
      <w:pPr>
        <w:ind w:left="-567" w:right="-799"/>
        <w:jc w:val="both"/>
        <w:rPr>
          <w:rFonts w:cs="Arial"/>
        </w:rPr>
      </w:pPr>
    </w:p>
    <w:p w:rsidR="00236593" w:rsidRDefault="00236593" w:rsidP="00236593">
      <w:pPr>
        <w:ind w:left="-567" w:right="-799"/>
        <w:jc w:val="center"/>
        <w:rPr>
          <w:rFonts w:cs="Arial"/>
          <w:b/>
        </w:rPr>
      </w:pPr>
      <w:r>
        <w:rPr>
          <w:rFonts w:cs="Arial"/>
          <w:b/>
        </w:rPr>
        <w:t>TÍTULO II</w:t>
      </w:r>
    </w:p>
    <w:p w:rsidR="002A1795" w:rsidRDefault="00236593" w:rsidP="00721ED3">
      <w:pPr>
        <w:ind w:left="-567" w:right="-799"/>
        <w:jc w:val="center"/>
        <w:rPr>
          <w:rFonts w:cs="Arial"/>
          <w:b/>
        </w:rPr>
      </w:pPr>
      <w:r>
        <w:rPr>
          <w:rFonts w:cs="Arial"/>
          <w:b/>
        </w:rPr>
        <w:t>INCENTIVO TRIBUTARIO A PROYECTOS DE ECONOMÍA CREATIVA</w:t>
      </w:r>
    </w:p>
    <w:p w:rsidR="002A1795" w:rsidRDefault="002A1795" w:rsidP="002A1795">
      <w:pPr>
        <w:ind w:left="-567" w:right="-799"/>
        <w:jc w:val="center"/>
        <w:rPr>
          <w:rFonts w:cs="Arial"/>
          <w:b/>
        </w:rPr>
      </w:pPr>
      <w:r>
        <w:rPr>
          <w:rFonts w:cs="Arial"/>
          <w:b/>
        </w:rPr>
        <w:t xml:space="preserve">CAPÍTULO I </w:t>
      </w:r>
    </w:p>
    <w:p w:rsidR="000B636E" w:rsidRDefault="002A1795" w:rsidP="00721ED3">
      <w:pPr>
        <w:ind w:left="-567" w:right="-799"/>
        <w:jc w:val="center"/>
        <w:rPr>
          <w:rFonts w:cs="Arial"/>
          <w:b/>
        </w:rPr>
      </w:pPr>
      <w:r>
        <w:rPr>
          <w:rFonts w:cs="Arial"/>
          <w:b/>
        </w:rPr>
        <w:t>GENERALIDADES</w:t>
      </w:r>
    </w:p>
    <w:p w:rsidR="00917DEF" w:rsidRDefault="00236593" w:rsidP="002C05DB">
      <w:pPr>
        <w:ind w:left="-567" w:right="-799"/>
        <w:jc w:val="both"/>
        <w:rPr>
          <w:rFonts w:cs="Arial"/>
        </w:rPr>
      </w:pPr>
      <w:r>
        <w:rPr>
          <w:rFonts w:cs="Arial"/>
          <w:b/>
        </w:rPr>
        <w:t>Artículo 2.11.2.1.</w:t>
      </w:r>
      <w:r w:rsidR="009D0352">
        <w:rPr>
          <w:rFonts w:cs="Arial"/>
          <w:b/>
        </w:rPr>
        <w:t>1.</w:t>
      </w:r>
      <w:r>
        <w:rPr>
          <w:rFonts w:cs="Arial"/>
          <w:b/>
        </w:rPr>
        <w:t xml:space="preserve"> Incentivo tributario a proyectos de economía creativa. </w:t>
      </w:r>
      <w:r w:rsidR="00E444C6" w:rsidRPr="00917DEF">
        <w:rPr>
          <w:rFonts w:cs="Arial"/>
        </w:rPr>
        <w:t>De conformidad con lo establecido en el artículo 180º de la ley 1955 de 2019,</w:t>
      </w:r>
      <w:r w:rsidR="00E444C6">
        <w:rPr>
          <w:rFonts w:cs="Arial"/>
          <w:b/>
        </w:rPr>
        <w:t xml:space="preserve"> </w:t>
      </w:r>
      <w:r w:rsidR="00E444C6">
        <w:rPr>
          <w:rFonts w:cs="Arial"/>
        </w:rPr>
        <w:t>e</w:t>
      </w:r>
      <w:r w:rsidR="001D1C9E" w:rsidRPr="001D1C9E">
        <w:rPr>
          <w:rFonts w:cs="Arial"/>
        </w:rPr>
        <w:t>ste Título reg</w:t>
      </w:r>
      <w:r w:rsidR="001D1C9E">
        <w:rPr>
          <w:rFonts w:cs="Arial"/>
        </w:rPr>
        <w:t xml:space="preserve">lamenta las condiciones mediante las cuales podrá aplicarse el incentivo tributario establecido en el artículo 195º de la ley 1607 de 2012 </w:t>
      </w:r>
      <w:r w:rsidR="000D570B">
        <w:rPr>
          <w:rFonts w:cs="Arial"/>
        </w:rPr>
        <w:t xml:space="preserve">con ocasión de las inversiones o donaciones que se hagan </w:t>
      </w:r>
      <w:r w:rsidR="001D1C9E">
        <w:rPr>
          <w:rFonts w:cs="Arial"/>
        </w:rPr>
        <w:t>a proyectos de economía creativa.</w:t>
      </w:r>
    </w:p>
    <w:p w:rsidR="00917DEF" w:rsidRDefault="00E444C6" w:rsidP="00917DEF">
      <w:pPr>
        <w:ind w:left="-567" w:right="-799"/>
        <w:jc w:val="both"/>
        <w:rPr>
          <w:rFonts w:cs="Arial"/>
        </w:rPr>
      </w:pPr>
      <w:r w:rsidRPr="00E444C6">
        <w:rPr>
          <w:rFonts w:cs="Arial"/>
          <w:b/>
        </w:rPr>
        <w:t>Artículo 2.11.2.</w:t>
      </w:r>
      <w:r w:rsidR="009D0352">
        <w:rPr>
          <w:rFonts w:cs="Arial"/>
          <w:b/>
        </w:rPr>
        <w:t>1.</w:t>
      </w:r>
      <w:r w:rsidRPr="00E444C6">
        <w:rPr>
          <w:rFonts w:cs="Arial"/>
          <w:b/>
        </w:rPr>
        <w:t xml:space="preserve">2. Campos </w:t>
      </w:r>
      <w:r w:rsidR="00E04530">
        <w:rPr>
          <w:rFonts w:cs="Arial"/>
          <w:b/>
        </w:rPr>
        <w:t xml:space="preserve">elegibles. </w:t>
      </w:r>
      <w:r w:rsidR="00917DEF">
        <w:rPr>
          <w:rFonts w:cs="Arial"/>
        </w:rPr>
        <w:t xml:space="preserve">Los campos de actividad creativa y cultural </w:t>
      </w:r>
      <w:r w:rsidR="00E04530">
        <w:rPr>
          <w:rFonts w:cs="Arial"/>
        </w:rPr>
        <w:t xml:space="preserve">elegibles para ser </w:t>
      </w:r>
      <w:r w:rsidR="00917DEF">
        <w:rPr>
          <w:rFonts w:cs="Arial"/>
        </w:rPr>
        <w:t>amparados con el incentivo tributario son los siguientes:</w:t>
      </w:r>
    </w:p>
    <w:p w:rsidR="00BF5DB4" w:rsidRPr="00BF5DB4" w:rsidRDefault="00917DEF" w:rsidP="003D1057">
      <w:pPr>
        <w:pStyle w:val="Prrafodelista"/>
        <w:numPr>
          <w:ilvl w:val="0"/>
          <w:numId w:val="6"/>
        </w:numPr>
        <w:ind w:right="-799"/>
        <w:jc w:val="both"/>
        <w:rPr>
          <w:rFonts w:cs="Arial"/>
        </w:rPr>
      </w:pPr>
      <w:r w:rsidRPr="00BF5DB4">
        <w:rPr>
          <w:rFonts w:cs="Arial"/>
        </w:rPr>
        <w:t>Los descritos en el artículo 2º de la ley 1834 de 2017</w:t>
      </w:r>
      <w:r w:rsidR="002C05DB">
        <w:rPr>
          <w:rFonts w:cs="Arial"/>
        </w:rPr>
        <w:t xml:space="preserve">, </w:t>
      </w:r>
      <w:r w:rsidR="002C05DB" w:rsidRPr="002C05DB">
        <w:rPr>
          <w:rFonts w:cs="Arial"/>
        </w:rPr>
        <w:t xml:space="preserve">en sectores como los editoriales, audiovisuales, fonográficos, artes visuales, artes escénicas y espectáculos, de turismo y patrimonio cultural material e inmaterial, educación artística y cultural, diseño, publicidad, contenidos multimedia, software de contenidos y servicios audiovisuales interactivos, moda, agencias de noticias y servicios de información, y educación creativa. </w:t>
      </w:r>
    </w:p>
    <w:p w:rsidR="00BF5DB4" w:rsidRDefault="00BF5DB4" w:rsidP="00BF5DB4">
      <w:pPr>
        <w:pStyle w:val="Prrafodelista"/>
        <w:ind w:left="-207" w:right="-799"/>
        <w:jc w:val="both"/>
        <w:rPr>
          <w:rFonts w:cs="Arial"/>
        </w:rPr>
      </w:pPr>
    </w:p>
    <w:p w:rsidR="00917DEF" w:rsidRPr="00BF5DB4" w:rsidRDefault="00BF5DB4" w:rsidP="003D1057">
      <w:pPr>
        <w:pStyle w:val="Prrafodelista"/>
        <w:numPr>
          <w:ilvl w:val="0"/>
          <w:numId w:val="6"/>
        </w:numPr>
        <w:ind w:right="-799"/>
        <w:jc w:val="both"/>
        <w:rPr>
          <w:rFonts w:cs="Arial"/>
        </w:rPr>
      </w:pPr>
      <w:r w:rsidRPr="00BF5DB4">
        <w:rPr>
          <w:rFonts w:cs="Arial"/>
        </w:rPr>
        <w:t>Planes especiales de salvaguardia de manifestaciones culturales incorporadas a listas representativas de patrimonio cultural inmaterial acordes con la Ley 1185 de 2008</w:t>
      </w:r>
      <w:r>
        <w:rPr>
          <w:rFonts w:cs="Arial"/>
        </w:rPr>
        <w:t>.</w:t>
      </w:r>
    </w:p>
    <w:p w:rsidR="00BF5DB4" w:rsidRDefault="00BF5DB4" w:rsidP="00BF5DB4">
      <w:pPr>
        <w:pStyle w:val="Prrafodelista"/>
        <w:ind w:left="-207" w:right="-799"/>
        <w:jc w:val="both"/>
        <w:rPr>
          <w:rFonts w:cs="Arial"/>
        </w:rPr>
      </w:pPr>
    </w:p>
    <w:p w:rsidR="00AF6551" w:rsidRDefault="00BF5DB4" w:rsidP="003D1057">
      <w:pPr>
        <w:pStyle w:val="Prrafodelista"/>
        <w:numPr>
          <w:ilvl w:val="0"/>
          <w:numId w:val="6"/>
        </w:numPr>
        <w:ind w:right="-799"/>
        <w:jc w:val="both"/>
        <w:rPr>
          <w:rFonts w:cs="Arial"/>
        </w:rPr>
      </w:pPr>
      <w:r w:rsidRPr="00BF5DB4">
        <w:rPr>
          <w:rFonts w:cs="Arial"/>
        </w:rPr>
        <w:t>Infraestructura de espectáculos públicos de artes escénicas previst</w:t>
      </w:r>
      <w:r w:rsidR="00F2273E">
        <w:rPr>
          <w:rFonts w:cs="Arial"/>
        </w:rPr>
        <w:t xml:space="preserve">a </w:t>
      </w:r>
      <w:r w:rsidRPr="00BF5DB4">
        <w:rPr>
          <w:rFonts w:cs="Arial"/>
        </w:rPr>
        <w:t>en el artículo 4 de la Ley 1493 de 2011</w:t>
      </w:r>
      <w:r>
        <w:rPr>
          <w:rFonts w:cs="Arial"/>
        </w:rPr>
        <w:t>.</w:t>
      </w:r>
    </w:p>
    <w:p w:rsidR="00AF6551" w:rsidRPr="00AF6551" w:rsidRDefault="00AF6551" w:rsidP="00AF6551">
      <w:pPr>
        <w:pStyle w:val="Prrafodelista"/>
        <w:rPr>
          <w:rFonts w:cs="Arial"/>
          <w:b/>
        </w:rPr>
      </w:pPr>
    </w:p>
    <w:p w:rsidR="00AF6551" w:rsidRPr="00AF6551" w:rsidRDefault="00AF6551" w:rsidP="00AF6551">
      <w:pPr>
        <w:ind w:left="-567" w:right="-799"/>
        <w:jc w:val="both"/>
        <w:rPr>
          <w:rFonts w:cs="Arial"/>
        </w:rPr>
      </w:pPr>
      <w:r w:rsidRPr="00AF6551">
        <w:rPr>
          <w:rFonts w:cs="Arial"/>
          <w:b/>
        </w:rPr>
        <w:t>Parágrafo.</w:t>
      </w:r>
      <w:r w:rsidRPr="00AF6551">
        <w:rPr>
          <w:rFonts w:cs="Arial"/>
        </w:rPr>
        <w:t xml:space="preserve"> Dentro de los campos antes descritos la convocatoria de aplicación del incentivo, definirá las tipologías de proyectos que pueden concursar.</w:t>
      </w:r>
    </w:p>
    <w:p w:rsidR="00AF6551" w:rsidRPr="00AF6551" w:rsidRDefault="00AF6551" w:rsidP="00AF6551">
      <w:pPr>
        <w:ind w:left="-567" w:right="-799"/>
        <w:jc w:val="both"/>
        <w:rPr>
          <w:rFonts w:cs="Arial"/>
        </w:rPr>
      </w:pPr>
      <w:r>
        <w:rPr>
          <w:rFonts w:cs="Arial"/>
          <w:b/>
        </w:rPr>
        <w:t xml:space="preserve">Artículo 2.11.2.1.3. Alcance del </w:t>
      </w:r>
      <w:r w:rsidR="002C05DB">
        <w:rPr>
          <w:rFonts w:cs="Arial"/>
          <w:b/>
        </w:rPr>
        <w:t>beneficio</w:t>
      </w:r>
      <w:r>
        <w:rPr>
          <w:rFonts w:cs="Arial"/>
          <w:b/>
        </w:rPr>
        <w:t xml:space="preserve">. </w:t>
      </w:r>
      <w:r w:rsidRPr="002A1795">
        <w:rPr>
          <w:rFonts w:cs="Arial"/>
        </w:rPr>
        <w:t xml:space="preserve">El monto </w:t>
      </w:r>
      <w:r w:rsidR="002C05DB">
        <w:rPr>
          <w:rFonts w:cs="Arial"/>
        </w:rPr>
        <w:t xml:space="preserve">real invertido o donado </w:t>
      </w:r>
      <w:r>
        <w:rPr>
          <w:rFonts w:cs="Arial"/>
        </w:rPr>
        <w:t>en dinero efectivo</w:t>
      </w:r>
      <w:r w:rsidR="002C05DB">
        <w:rPr>
          <w:rFonts w:cs="Arial"/>
        </w:rPr>
        <w:t xml:space="preserve">, </w:t>
      </w:r>
      <w:r w:rsidRPr="002A1795">
        <w:rPr>
          <w:rFonts w:cs="Arial"/>
        </w:rPr>
        <w:t>con destino exclusivo a los proyectos que resulten seleccionados en la convocatoria de aplicación</w:t>
      </w:r>
      <w:r>
        <w:rPr>
          <w:rFonts w:cs="Arial"/>
        </w:rPr>
        <w:t>, darán derecho al inversionista o donante a una deducción tributaria del ciento sesenta y cinco por ciento (165%) sobre el impuesto de renta a cargo</w:t>
      </w:r>
      <w:r w:rsidR="002C05DB">
        <w:rPr>
          <w:rFonts w:cs="Arial"/>
        </w:rPr>
        <w:t xml:space="preserve"> en el año de la donación o inversión</w:t>
      </w:r>
      <w:r>
        <w:rPr>
          <w:rFonts w:cs="Arial"/>
        </w:rPr>
        <w:t>, si cumple con todos los parámetros y condiciones establecidos en este Título y en la convocatoria de aplicación.</w:t>
      </w:r>
    </w:p>
    <w:p w:rsidR="002C05DB" w:rsidRDefault="002C05DB" w:rsidP="00BF5DB4">
      <w:pPr>
        <w:ind w:left="-567" w:right="-799"/>
        <w:jc w:val="both"/>
        <w:rPr>
          <w:rFonts w:cs="Arial"/>
          <w:b/>
        </w:rPr>
      </w:pPr>
    </w:p>
    <w:p w:rsidR="00693FE6" w:rsidRDefault="00693FE6" w:rsidP="00BF5DB4">
      <w:pPr>
        <w:ind w:left="-567" w:right="-799"/>
        <w:jc w:val="both"/>
        <w:rPr>
          <w:rFonts w:cs="Arial"/>
          <w:b/>
        </w:rPr>
      </w:pPr>
    </w:p>
    <w:p w:rsidR="002A1795" w:rsidRDefault="002A1795" w:rsidP="00BF5DB4">
      <w:pPr>
        <w:ind w:left="-567" w:right="-799"/>
        <w:jc w:val="both"/>
        <w:rPr>
          <w:rFonts w:cs="Arial"/>
        </w:rPr>
      </w:pPr>
      <w:r w:rsidRPr="002A1795">
        <w:rPr>
          <w:rFonts w:cs="Arial"/>
          <w:b/>
        </w:rPr>
        <w:t>Parágrafo.</w:t>
      </w:r>
      <w:r>
        <w:rPr>
          <w:rFonts w:cs="Arial"/>
        </w:rPr>
        <w:t xml:space="preserve"> Las inversiones pueden ser propias del titular del proyecto o provenientes de terceros. Las donaciones serán siempre de terceros.</w:t>
      </w:r>
    </w:p>
    <w:p w:rsidR="00504F03" w:rsidRDefault="00504F03" w:rsidP="00BF5DB4">
      <w:pPr>
        <w:ind w:left="-567" w:right="-799"/>
        <w:jc w:val="both"/>
        <w:rPr>
          <w:rFonts w:cs="Arial"/>
        </w:rPr>
      </w:pPr>
      <w:r>
        <w:rPr>
          <w:rFonts w:cs="Arial"/>
          <w:b/>
        </w:rPr>
        <w:t xml:space="preserve">Artículo 2.11.2.1.4. </w:t>
      </w:r>
      <w:r w:rsidR="00BB5C2C">
        <w:rPr>
          <w:rFonts w:cs="Arial"/>
          <w:b/>
        </w:rPr>
        <w:t xml:space="preserve">Cupo anual amparado con el incentivo. </w:t>
      </w:r>
      <w:r w:rsidR="0005042D" w:rsidRPr="00BB5C2C">
        <w:rPr>
          <w:rFonts w:cs="Arial"/>
        </w:rPr>
        <w:t>El Consejo Nacional de la Economía Naranja creado en</w:t>
      </w:r>
      <w:r w:rsidR="00BB5C2C" w:rsidRPr="00BB5C2C">
        <w:rPr>
          <w:rFonts w:cs="Arial"/>
        </w:rPr>
        <w:t xml:space="preserve"> la ley 1834 de 2017 y reglamentado en el decreto </w:t>
      </w:r>
      <w:r w:rsidR="00BB5C2C">
        <w:rPr>
          <w:rFonts w:cs="Arial"/>
        </w:rPr>
        <w:t xml:space="preserve">1935 de 2008, establecerá para cada año fiscal el monto o cupo máximo de inversión o donación sobre el que puede aplicarse el incentivo tributario a proyectos de economía creativa. </w:t>
      </w:r>
    </w:p>
    <w:p w:rsidR="002A1795" w:rsidRPr="002A1795" w:rsidRDefault="002A1795" w:rsidP="002A1795">
      <w:pPr>
        <w:ind w:left="-567" w:right="-799"/>
        <w:jc w:val="center"/>
        <w:rPr>
          <w:rFonts w:cs="Arial"/>
          <w:b/>
        </w:rPr>
      </w:pPr>
      <w:r w:rsidRPr="002A1795">
        <w:rPr>
          <w:rFonts w:cs="Arial"/>
          <w:b/>
        </w:rPr>
        <w:t>CAPITULO II</w:t>
      </w:r>
    </w:p>
    <w:p w:rsidR="002A1795" w:rsidRPr="002A1795" w:rsidRDefault="002A1795" w:rsidP="002A1795">
      <w:pPr>
        <w:ind w:left="-567" w:right="-799"/>
        <w:jc w:val="center"/>
        <w:rPr>
          <w:rFonts w:cs="Arial"/>
          <w:b/>
        </w:rPr>
      </w:pPr>
      <w:r w:rsidRPr="002A1795">
        <w:rPr>
          <w:rFonts w:cs="Arial"/>
          <w:b/>
        </w:rPr>
        <w:t>CONVOCATORIA DE APLICACIÓN</w:t>
      </w:r>
    </w:p>
    <w:p w:rsidR="00E04530" w:rsidRDefault="00C07D56" w:rsidP="00BF5DB4">
      <w:pPr>
        <w:ind w:left="-567" w:right="-799"/>
        <w:jc w:val="both"/>
        <w:rPr>
          <w:rFonts w:cs="Arial"/>
        </w:rPr>
      </w:pPr>
      <w:r>
        <w:rPr>
          <w:rFonts w:cs="Arial"/>
          <w:b/>
        </w:rPr>
        <w:t xml:space="preserve">Artículo 2.11.2.2.1. Convocatoria de aplicación. </w:t>
      </w:r>
      <w:r w:rsidR="00E04530" w:rsidRPr="00E04530">
        <w:rPr>
          <w:rFonts w:cs="Arial"/>
        </w:rPr>
        <w:t xml:space="preserve">Se denomina convocatoria de aplicación la que se realice cada año calendario, a decisión del Ministerio de Cultura, con el objeto de </w:t>
      </w:r>
      <w:r w:rsidR="00E04530">
        <w:rPr>
          <w:rFonts w:cs="Arial"/>
        </w:rPr>
        <w:t xml:space="preserve">seleccionar </w:t>
      </w:r>
      <w:r w:rsidR="00E04530" w:rsidRPr="00E04530">
        <w:rPr>
          <w:rFonts w:cs="Arial"/>
        </w:rPr>
        <w:t xml:space="preserve">mediante concurso proyectos creativos y culturales en los campos </w:t>
      </w:r>
      <w:r w:rsidR="00E04530">
        <w:rPr>
          <w:rFonts w:cs="Arial"/>
        </w:rPr>
        <w:t>elegibles con la finalidad de que estos puedan canalizar</w:t>
      </w:r>
      <w:r w:rsidR="00815397">
        <w:rPr>
          <w:rFonts w:cs="Arial"/>
        </w:rPr>
        <w:t xml:space="preserve"> recursos que enriquezcan el proyecto en forma amparada con el </w:t>
      </w:r>
      <w:r w:rsidR="00E04530">
        <w:rPr>
          <w:rFonts w:cs="Arial"/>
        </w:rPr>
        <w:t>incentivo tributario reglamentado en este Título.</w:t>
      </w:r>
    </w:p>
    <w:p w:rsidR="00815397" w:rsidRDefault="00815397" w:rsidP="00BF5DB4">
      <w:pPr>
        <w:ind w:left="-567" w:right="-799"/>
        <w:jc w:val="both"/>
        <w:rPr>
          <w:rFonts w:cs="Arial"/>
        </w:rPr>
      </w:pPr>
      <w:r>
        <w:rPr>
          <w:rFonts w:cs="Arial"/>
        </w:rPr>
        <w:t>La convocatoria de aplicación constará de las siguientes etapas que se l</w:t>
      </w:r>
      <w:r w:rsidR="001561C6">
        <w:rPr>
          <w:rFonts w:cs="Arial"/>
        </w:rPr>
        <w:t>l</w:t>
      </w:r>
      <w:r>
        <w:rPr>
          <w:rFonts w:cs="Arial"/>
        </w:rPr>
        <w:t>evarán a cabo en los primeros cuatro meses del año calendario:</w:t>
      </w:r>
    </w:p>
    <w:p w:rsidR="00815397" w:rsidRDefault="00815397" w:rsidP="003D1057">
      <w:pPr>
        <w:pStyle w:val="Prrafodelista"/>
        <w:numPr>
          <w:ilvl w:val="0"/>
          <w:numId w:val="7"/>
        </w:numPr>
        <w:ind w:right="-799"/>
        <w:jc w:val="both"/>
        <w:rPr>
          <w:rFonts w:cs="Arial"/>
        </w:rPr>
      </w:pPr>
      <w:r>
        <w:rPr>
          <w:rFonts w:cs="Arial"/>
        </w:rPr>
        <w:t>Apertura.</w:t>
      </w:r>
    </w:p>
    <w:p w:rsidR="00815397" w:rsidRDefault="00815397" w:rsidP="003D1057">
      <w:pPr>
        <w:pStyle w:val="Prrafodelista"/>
        <w:numPr>
          <w:ilvl w:val="0"/>
          <w:numId w:val="7"/>
        </w:numPr>
        <w:ind w:right="-799"/>
        <w:jc w:val="both"/>
        <w:rPr>
          <w:rFonts w:cs="Arial"/>
        </w:rPr>
      </w:pPr>
      <w:r>
        <w:rPr>
          <w:rFonts w:cs="Arial"/>
        </w:rPr>
        <w:t>Postulación.</w:t>
      </w:r>
    </w:p>
    <w:p w:rsidR="00C4528B" w:rsidRDefault="00815397" w:rsidP="003D1057">
      <w:pPr>
        <w:pStyle w:val="Prrafodelista"/>
        <w:numPr>
          <w:ilvl w:val="0"/>
          <w:numId w:val="7"/>
        </w:numPr>
        <w:ind w:right="-799"/>
        <w:jc w:val="both"/>
        <w:rPr>
          <w:rFonts w:cs="Arial"/>
        </w:rPr>
      </w:pPr>
      <w:r>
        <w:rPr>
          <w:rFonts w:cs="Arial"/>
        </w:rPr>
        <w:t>Verificación de Re</w:t>
      </w:r>
      <w:r w:rsidR="00C4528B">
        <w:rPr>
          <w:rFonts w:cs="Arial"/>
        </w:rPr>
        <w:t xml:space="preserve">quisitos </w:t>
      </w:r>
    </w:p>
    <w:p w:rsidR="00815397" w:rsidRDefault="00815397" w:rsidP="003D1057">
      <w:pPr>
        <w:pStyle w:val="Prrafodelista"/>
        <w:numPr>
          <w:ilvl w:val="0"/>
          <w:numId w:val="7"/>
        </w:numPr>
        <w:ind w:right="-799"/>
        <w:jc w:val="both"/>
        <w:rPr>
          <w:rFonts w:cs="Arial"/>
        </w:rPr>
      </w:pPr>
      <w:r>
        <w:rPr>
          <w:rFonts w:cs="Arial"/>
        </w:rPr>
        <w:t>Evaluación.</w:t>
      </w:r>
    </w:p>
    <w:p w:rsidR="00265EFA" w:rsidRPr="0031468D" w:rsidRDefault="00815397" w:rsidP="0031468D">
      <w:pPr>
        <w:pStyle w:val="Prrafodelista"/>
        <w:numPr>
          <w:ilvl w:val="0"/>
          <w:numId w:val="7"/>
        </w:numPr>
        <w:ind w:right="-799"/>
        <w:jc w:val="both"/>
        <w:rPr>
          <w:rFonts w:cs="Arial"/>
        </w:rPr>
      </w:pPr>
      <w:r>
        <w:rPr>
          <w:rFonts w:cs="Arial"/>
        </w:rPr>
        <w:t>Selección</w:t>
      </w:r>
      <w:r w:rsidR="000B3FF2">
        <w:rPr>
          <w:rFonts w:cs="Arial"/>
        </w:rPr>
        <w:t>.</w:t>
      </w:r>
    </w:p>
    <w:p w:rsidR="00504F03" w:rsidRDefault="00C4528B" w:rsidP="00504F03">
      <w:pPr>
        <w:ind w:left="-567" w:right="-799"/>
        <w:jc w:val="both"/>
        <w:rPr>
          <w:rFonts w:cs="Arial"/>
        </w:rPr>
      </w:pPr>
      <w:r w:rsidRPr="00C4528B">
        <w:rPr>
          <w:rFonts w:cs="Arial"/>
          <w:b/>
        </w:rPr>
        <w:t>Artículo 2.11.2.2.2. Contenido</w:t>
      </w:r>
      <w:r>
        <w:rPr>
          <w:rFonts w:cs="Arial"/>
        </w:rPr>
        <w:t xml:space="preserve">. La convocatoria de aplicación establecerá los parámetros de evaluación de los proyectos sobre un nivel de calificación que no podrá ser inferior al 80% del total </w:t>
      </w:r>
      <w:r w:rsidR="00A467D4">
        <w:rPr>
          <w:rFonts w:cs="Arial"/>
        </w:rPr>
        <w:t>fijado</w:t>
      </w:r>
      <w:r>
        <w:rPr>
          <w:rFonts w:cs="Arial"/>
        </w:rPr>
        <w:t>. Los proyectos que no alcancen este porcentaje no serán aprobados.</w:t>
      </w:r>
    </w:p>
    <w:p w:rsidR="00151479" w:rsidRDefault="00504F03" w:rsidP="007F069B">
      <w:pPr>
        <w:ind w:left="-567" w:right="-799"/>
        <w:jc w:val="both"/>
        <w:rPr>
          <w:rFonts w:cs="Arial"/>
        </w:rPr>
      </w:pPr>
      <w:r>
        <w:rPr>
          <w:rFonts w:cs="Arial"/>
        </w:rPr>
        <w:t xml:space="preserve">En la convocatoria se podrán </w:t>
      </w:r>
      <w:r w:rsidR="00A467D4">
        <w:rPr>
          <w:rFonts w:cs="Arial"/>
        </w:rPr>
        <w:t xml:space="preserve">señalar </w:t>
      </w:r>
      <w:r>
        <w:rPr>
          <w:rFonts w:cs="Arial"/>
        </w:rPr>
        <w:t>modalidades diferenciadas con base en tipologías de proyectos dentro de los campos elegibles. Del mismo modo</w:t>
      </w:r>
      <w:r w:rsidR="002A0BCC">
        <w:rPr>
          <w:rFonts w:cs="Arial"/>
        </w:rPr>
        <w:t>,</w:t>
      </w:r>
      <w:r>
        <w:rPr>
          <w:rFonts w:cs="Arial"/>
        </w:rPr>
        <w:t xml:space="preserve"> la convocatoria establecerá un monto máximo de inversión o donación susceptible de ser amparada con el incentivo tributario</w:t>
      </w:r>
      <w:r w:rsidR="00151479">
        <w:rPr>
          <w:rFonts w:cs="Arial"/>
        </w:rPr>
        <w:t xml:space="preserve"> según las referidas tipologías de proyectos</w:t>
      </w:r>
      <w:r>
        <w:rPr>
          <w:rFonts w:cs="Arial"/>
        </w:rPr>
        <w:t>.</w:t>
      </w:r>
    </w:p>
    <w:p w:rsidR="00504F03" w:rsidRDefault="00504F03" w:rsidP="000B3FF2">
      <w:pPr>
        <w:ind w:left="-567" w:right="-799"/>
        <w:jc w:val="both"/>
        <w:rPr>
          <w:rFonts w:cs="Arial"/>
        </w:rPr>
      </w:pPr>
      <w:r w:rsidRPr="00504F03">
        <w:rPr>
          <w:rFonts w:cs="Arial"/>
        </w:rPr>
        <w:t>Sin perjuicio de otros parámetros que defina la convocatoria</w:t>
      </w:r>
      <w:r>
        <w:rPr>
          <w:rFonts w:cs="Arial"/>
        </w:rPr>
        <w:t xml:space="preserve"> de aplicación, se tendrán en cuenta los siguientes:</w:t>
      </w:r>
    </w:p>
    <w:p w:rsidR="00504F03" w:rsidRDefault="00504F03" w:rsidP="003D1057">
      <w:pPr>
        <w:pStyle w:val="Prrafodelista"/>
        <w:numPr>
          <w:ilvl w:val="0"/>
          <w:numId w:val="8"/>
        </w:numPr>
        <w:ind w:right="-799"/>
        <w:jc w:val="both"/>
        <w:rPr>
          <w:rFonts w:cs="Arial"/>
        </w:rPr>
      </w:pPr>
      <w:r>
        <w:rPr>
          <w:rFonts w:cs="Arial"/>
        </w:rPr>
        <w:t>Correspondencia del proyecto con los campos elegibles descritos en este decreto.</w:t>
      </w:r>
    </w:p>
    <w:p w:rsidR="001561C6" w:rsidRDefault="001561C6" w:rsidP="003D1057">
      <w:pPr>
        <w:pStyle w:val="Prrafodelista"/>
        <w:numPr>
          <w:ilvl w:val="0"/>
          <w:numId w:val="8"/>
        </w:numPr>
        <w:ind w:right="-799"/>
        <w:jc w:val="both"/>
        <w:rPr>
          <w:rFonts w:cs="Arial"/>
        </w:rPr>
      </w:pPr>
      <w:r>
        <w:rPr>
          <w:rFonts w:cs="Arial"/>
        </w:rPr>
        <w:t>Pertinencia y viabilidad técnica del proyecto.</w:t>
      </w:r>
    </w:p>
    <w:p w:rsidR="001561C6" w:rsidRDefault="001561C6" w:rsidP="003D1057">
      <w:pPr>
        <w:pStyle w:val="Prrafodelista"/>
        <w:numPr>
          <w:ilvl w:val="0"/>
          <w:numId w:val="8"/>
        </w:numPr>
        <w:ind w:right="-799"/>
        <w:jc w:val="both"/>
        <w:rPr>
          <w:rFonts w:cs="Arial"/>
        </w:rPr>
      </w:pPr>
      <w:r>
        <w:rPr>
          <w:rFonts w:cs="Arial"/>
        </w:rPr>
        <w:t>Consistencia del presupuesto con el proyecto.</w:t>
      </w:r>
    </w:p>
    <w:p w:rsidR="001561C6" w:rsidRDefault="001561C6" w:rsidP="003D1057">
      <w:pPr>
        <w:pStyle w:val="Prrafodelista"/>
        <w:numPr>
          <w:ilvl w:val="0"/>
          <w:numId w:val="8"/>
        </w:numPr>
        <w:ind w:right="-799"/>
        <w:jc w:val="both"/>
        <w:rPr>
          <w:rFonts w:cs="Arial"/>
        </w:rPr>
      </w:pPr>
      <w:r>
        <w:rPr>
          <w:rFonts w:cs="Arial"/>
        </w:rPr>
        <w:t xml:space="preserve">Fuentes de financiación. </w:t>
      </w:r>
    </w:p>
    <w:p w:rsidR="00504F03" w:rsidRDefault="00504F03" w:rsidP="003D1057">
      <w:pPr>
        <w:pStyle w:val="Prrafodelista"/>
        <w:numPr>
          <w:ilvl w:val="0"/>
          <w:numId w:val="8"/>
        </w:numPr>
        <w:ind w:right="-799"/>
        <w:jc w:val="both"/>
        <w:rPr>
          <w:rFonts w:cs="Arial"/>
        </w:rPr>
      </w:pPr>
      <w:r>
        <w:rPr>
          <w:rFonts w:cs="Arial"/>
        </w:rPr>
        <w:t xml:space="preserve">Consistencia financiera del proyecto. </w:t>
      </w:r>
    </w:p>
    <w:p w:rsidR="00D651E8" w:rsidRDefault="00D651E8" w:rsidP="003D1057">
      <w:pPr>
        <w:pStyle w:val="Prrafodelista"/>
        <w:numPr>
          <w:ilvl w:val="0"/>
          <w:numId w:val="8"/>
        </w:numPr>
        <w:ind w:right="-799"/>
        <w:jc w:val="both"/>
        <w:rPr>
          <w:rFonts w:cs="Arial"/>
        </w:rPr>
      </w:pPr>
      <w:r>
        <w:rPr>
          <w:rFonts w:cs="Arial"/>
        </w:rPr>
        <w:t>Relación entre el presupuesto del proyecto y monto de incentivo solici</w:t>
      </w:r>
      <w:r w:rsidR="00A27EAF">
        <w:rPr>
          <w:rFonts w:cs="Arial"/>
        </w:rPr>
        <w:t>tado.</w:t>
      </w:r>
    </w:p>
    <w:p w:rsidR="009456E9" w:rsidRDefault="009456E9" w:rsidP="003D1057">
      <w:pPr>
        <w:pStyle w:val="Prrafodelista"/>
        <w:numPr>
          <w:ilvl w:val="0"/>
          <w:numId w:val="8"/>
        </w:numPr>
        <w:ind w:right="-799"/>
        <w:jc w:val="both"/>
        <w:rPr>
          <w:rFonts w:cs="Arial"/>
        </w:rPr>
      </w:pPr>
      <w:r>
        <w:rPr>
          <w:rFonts w:cs="Arial"/>
        </w:rPr>
        <w:t>Impacto social.</w:t>
      </w:r>
    </w:p>
    <w:p w:rsidR="00D651E8" w:rsidRPr="00504F03" w:rsidRDefault="00D651E8" w:rsidP="003D1057">
      <w:pPr>
        <w:pStyle w:val="Prrafodelista"/>
        <w:numPr>
          <w:ilvl w:val="0"/>
          <w:numId w:val="8"/>
        </w:numPr>
        <w:ind w:right="-799"/>
        <w:jc w:val="both"/>
        <w:rPr>
          <w:rFonts w:cs="Arial"/>
        </w:rPr>
      </w:pPr>
      <w:r>
        <w:rPr>
          <w:rFonts w:cs="Arial"/>
        </w:rPr>
        <w:t>Impacto en la vida cultural y desarrollo de la economía creativa.</w:t>
      </w:r>
    </w:p>
    <w:p w:rsidR="003D5177" w:rsidRDefault="00F13807" w:rsidP="003D5177">
      <w:pPr>
        <w:ind w:left="-567" w:right="-799"/>
        <w:jc w:val="both"/>
        <w:rPr>
          <w:rFonts w:cs="Arial"/>
        </w:rPr>
      </w:pPr>
      <w:r w:rsidRPr="00151479">
        <w:rPr>
          <w:rFonts w:cs="Arial"/>
          <w:b/>
        </w:rPr>
        <w:t>Parágrafo.</w:t>
      </w:r>
      <w:r>
        <w:rPr>
          <w:rFonts w:cs="Arial"/>
        </w:rPr>
        <w:t xml:space="preserve"> La convocatoria de aplicación tendrá como base el monto o cupo máximo de inversión o donación susceptible de ser amarada con el incentivo tributario, fijado por el Consejo Nacional de la Economía Naranja</w:t>
      </w:r>
      <w:r w:rsidR="003D5177">
        <w:rPr>
          <w:rFonts w:cs="Arial"/>
        </w:rPr>
        <w:t>.</w:t>
      </w:r>
    </w:p>
    <w:p w:rsidR="00D651E8" w:rsidRDefault="00D651E8" w:rsidP="003D5177">
      <w:pPr>
        <w:ind w:left="-567" w:right="-799"/>
        <w:jc w:val="both"/>
        <w:rPr>
          <w:rFonts w:cs="Arial"/>
        </w:rPr>
      </w:pPr>
      <w:r w:rsidRPr="00D651E8">
        <w:rPr>
          <w:rFonts w:cs="Arial"/>
          <w:b/>
        </w:rPr>
        <w:t>Artículo 2.11.2.2.</w:t>
      </w:r>
      <w:r>
        <w:rPr>
          <w:rFonts w:cs="Arial"/>
          <w:b/>
        </w:rPr>
        <w:t>3</w:t>
      </w:r>
      <w:r w:rsidRPr="00D651E8">
        <w:rPr>
          <w:rFonts w:cs="Arial"/>
          <w:b/>
        </w:rPr>
        <w:t>. Proyectos de los programas nacionales de Estímulos y Concertación</w:t>
      </w:r>
      <w:r>
        <w:rPr>
          <w:rFonts w:cs="Arial"/>
        </w:rPr>
        <w:t>. La convocatoria de aplicación considerará positivamente en los parámetros de evaluación, la circunstancia de que los proyectos en curso hubieran sido seleccionados dentro de los programas nacionales de Estímulos y Concertación del Ministerio de Cultura.</w:t>
      </w:r>
    </w:p>
    <w:p w:rsidR="00D11691" w:rsidRDefault="00D11691" w:rsidP="003D5177">
      <w:pPr>
        <w:ind w:left="-567" w:right="-799"/>
        <w:jc w:val="both"/>
        <w:rPr>
          <w:rFonts w:cs="Arial"/>
          <w:b/>
        </w:rPr>
      </w:pPr>
    </w:p>
    <w:p w:rsidR="00D11691" w:rsidRDefault="00D11691" w:rsidP="003D5177">
      <w:pPr>
        <w:ind w:left="-567" w:right="-799"/>
        <w:jc w:val="both"/>
        <w:rPr>
          <w:rFonts w:cs="Arial"/>
          <w:b/>
        </w:rPr>
      </w:pPr>
    </w:p>
    <w:p w:rsidR="00D11691" w:rsidRDefault="00D11691" w:rsidP="003D5177">
      <w:pPr>
        <w:ind w:left="-567" w:right="-799"/>
        <w:jc w:val="both"/>
        <w:rPr>
          <w:rFonts w:cs="Arial"/>
          <w:b/>
        </w:rPr>
      </w:pPr>
    </w:p>
    <w:p w:rsidR="0081072C" w:rsidRDefault="0081072C" w:rsidP="003D5177">
      <w:pPr>
        <w:ind w:left="-567" w:right="-799"/>
        <w:jc w:val="both"/>
        <w:rPr>
          <w:rFonts w:cs="Arial"/>
          <w:b/>
        </w:rPr>
      </w:pPr>
    </w:p>
    <w:p w:rsidR="0081072C" w:rsidRDefault="0081072C" w:rsidP="003D5177">
      <w:pPr>
        <w:ind w:left="-567" w:right="-799"/>
        <w:jc w:val="both"/>
        <w:rPr>
          <w:rFonts w:cs="Arial"/>
          <w:b/>
        </w:rPr>
      </w:pPr>
    </w:p>
    <w:p w:rsidR="005753D3" w:rsidRDefault="005753D3" w:rsidP="003D5177">
      <w:pPr>
        <w:ind w:left="-567" w:right="-799"/>
        <w:jc w:val="both"/>
        <w:rPr>
          <w:rFonts w:cs="Arial"/>
          <w:b/>
        </w:rPr>
      </w:pPr>
    </w:p>
    <w:p w:rsidR="003E2B54" w:rsidRDefault="003E2B54" w:rsidP="003D5177">
      <w:pPr>
        <w:ind w:left="-567" w:right="-799"/>
        <w:jc w:val="both"/>
        <w:rPr>
          <w:rFonts w:cs="Arial"/>
        </w:rPr>
      </w:pPr>
      <w:r w:rsidRPr="00D11691">
        <w:rPr>
          <w:rFonts w:cs="Arial"/>
          <w:b/>
        </w:rPr>
        <w:t>2.11.2.2.4. Proyectos de ADN</w:t>
      </w:r>
      <w:r>
        <w:rPr>
          <w:rFonts w:cs="Arial"/>
        </w:rPr>
        <w:t xml:space="preserve">. Los proyectos postulados que hagan parte de Áreas de Desarrollo Naranja (ADN), en la forma establecida en el Título I de este decreto, tendrán cobertura con el </w:t>
      </w:r>
      <w:r w:rsidR="00D11691">
        <w:rPr>
          <w:rFonts w:cs="Arial"/>
        </w:rPr>
        <w:t xml:space="preserve">incentivo </w:t>
      </w:r>
      <w:r>
        <w:rPr>
          <w:rFonts w:cs="Arial"/>
        </w:rPr>
        <w:t>tributario reglamentado en e</w:t>
      </w:r>
      <w:r w:rsidR="005753D3">
        <w:rPr>
          <w:rFonts w:cs="Arial"/>
        </w:rPr>
        <w:t xml:space="preserve">l presente Título. </w:t>
      </w:r>
      <w:r>
        <w:rPr>
          <w:rFonts w:cs="Arial"/>
        </w:rPr>
        <w:t>La convocatoria de aplicación definirá, del mismo modo, las condiciones de postulación.</w:t>
      </w:r>
    </w:p>
    <w:p w:rsidR="006C1424" w:rsidRDefault="006C1424" w:rsidP="00D651E8">
      <w:pPr>
        <w:ind w:left="-567" w:right="-799"/>
        <w:jc w:val="both"/>
        <w:rPr>
          <w:rFonts w:cs="Arial"/>
        </w:rPr>
      </w:pPr>
      <w:r>
        <w:rPr>
          <w:rFonts w:cs="Arial"/>
          <w:b/>
        </w:rPr>
        <w:t>Artículo 2.11.2.2.</w:t>
      </w:r>
      <w:r w:rsidR="00D11691">
        <w:rPr>
          <w:rFonts w:cs="Arial"/>
          <w:b/>
        </w:rPr>
        <w:t>5</w:t>
      </w:r>
      <w:r>
        <w:rPr>
          <w:rFonts w:cs="Arial"/>
          <w:b/>
        </w:rPr>
        <w:t xml:space="preserve">. Otros campos. </w:t>
      </w:r>
      <w:r>
        <w:rPr>
          <w:rFonts w:cs="Arial"/>
        </w:rPr>
        <w:t>Los proyectos relativos a financiación de Planes Especiales de Salvaguardia de manifestaciones culturales incorporadas a Listas Representativas de Patrimonio Cultural Inmaterial acordes con la ley 1185 de 2008, y los de infraestructura de espectáculos públicos de artes escénicas que postulen al incentivo reglamentado en este Título, se ceñirán en todo a las formas de postulación y evaluación aquí previstas. En estos últimos se contará con la evaluación por parte del Comité de Inversión en Infraestructura para Espectáculos Públicos de las Artes Escénicas (CIEPA), según lo establecido en el artículo 2.9.2.1 de este decreto.</w:t>
      </w:r>
    </w:p>
    <w:p w:rsidR="001561C6" w:rsidRDefault="001561C6" w:rsidP="001561C6">
      <w:pPr>
        <w:ind w:left="-567" w:right="-799"/>
        <w:jc w:val="both"/>
        <w:rPr>
          <w:rFonts w:cs="Arial"/>
        </w:rPr>
      </w:pPr>
      <w:r w:rsidRPr="001561C6">
        <w:rPr>
          <w:rFonts w:cs="Arial"/>
          <w:b/>
        </w:rPr>
        <w:t>Artículo 2.11.2.2.</w:t>
      </w:r>
      <w:r w:rsidR="00D11691">
        <w:rPr>
          <w:rFonts w:cs="Arial"/>
          <w:b/>
        </w:rPr>
        <w:t>6</w:t>
      </w:r>
      <w:r>
        <w:rPr>
          <w:rFonts w:cs="Arial"/>
        </w:rPr>
        <w:t xml:space="preserve">. </w:t>
      </w:r>
      <w:r w:rsidRPr="001561C6">
        <w:rPr>
          <w:rFonts w:cs="Arial"/>
          <w:b/>
        </w:rPr>
        <w:t>Proyectos seleccionados.</w:t>
      </w:r>
      <w:r>
        <w:rPr>
          <w:rFonts w:cs="Arial"/>
        </w:rPr>
        <w:t xml:space="preserve"> Respecto de los proyectos seleccionados se establecerá el presupuesto aprobado y el porcentaje del mismo que podrá ser cubierto con donaciones o inversiones amparadas por el incentivo, sin superar un 70%.</w:t>
      </w:r>
      <w:r w:rsidR="00D651E8">
        <w:rPr>
          <w:rFonts w:cs="Arial"/>
        </w:rPr>
        <w:t xml:space="preserve">  </w:t>
      </w:r>
    </w:p>
    <w:p w:rsidR="003D5177" w:rsidRPr="00265EFA" w:rsidRDefault="001561C6" w:rsidP="00265EFA">
      <w:pPr>
        <w:ind w:left="-567" w:right="-799"/>
        <w:jc w:val="both"/>
        <w:rPr>
          <w:rFonts w:cs="Arial"/>
        </w:rPr>
      </w:pPr>
      <w:r>
        <w:rPr>
          <w:rFonts w:cs="Arial"/>
        </w:rPr>
        <w:t>Del mismo modo</w:t>
      </w:r>
      <w:r w:rsidR="00A467D4">
        <w:rPr>
          <w:rFonts w:cs="Arial"/>
        </w:rPr>
        <w:t>,</w:t>
      </w:r>
      <w:r>
        <w:rPr>
          <w:rFonts w:cs="Arial"/>
        </w:rPr>
        <w:t xml:space="preserve"> la convocatoria de aplicación definirá topes</w:t>
      </w:r>
      <w:r w:rsidR="00A467D4">
        <w:rPr>
          <w:rFonts w:cs="Arial"/>
        </w:rPr>
        <w:t xml:space="preserve"> mínimos y máximos de presupuesto por tipologías de proyectos en perspectiva de la naturaleza de los proyectos y del monto o cupo anual definido por el Consejo Nacional de la Economía Naranja.</w:t>
      </w:r>
    </w:p>
    <w:p w:rsidR="00A467D4" w:rsidRDefault="00A467D4" w:rsidP="00BF5DB4">
      <w:pPr>
        <w:ind w:left="-567" w:right="-799"/>
        <w:jc w:val="both"/>
        <w:rPr>
          <w:rFonts w:cs="Arial"/>
        </w:rPr>
      </w:pPr>
      <w:r w:rsidRPr="00D651E8">
        <w:rPr>
          <w:rFonts w:cs="Arial"/>
          <w:b/>
        </w:rPr>
        <w:t>Artículo 2.11.2.2.</w:t>
      </w:r>
      <w:r w:rsidR="00D11691">
        <w:rPr>
          <w:rFonts w:cs="Arial"/>
          <w:b/>
        </w:rPr>
        <w:t>7</w:t>
      </w:r>
      <w:r w:rsidRPr="00D651E8">
        <w:rPr>
          <w:rFonts w:cs="Arial"/>
          <w:b/>
        </w:rPr>
        <w:t>. Seguimiento</w:t>
      </w:r>
      <w:r>
        <w:rPr>
          <w:rFonts w:cs="Arial"/>
        </w:rPr>
        <w:t xml:space="preserve">. La convocatoria de aplicación determinará, del mismo modo, </w:t>
      </w:r>
      <w:r w:rsidR="00D651E8">
        <w:rPr>
          <w:rFonts w:cs="Arial"/>
        </w:rPr>
        <w:t xml:space="preserve">la forma de seguimiento al cumplimiento estricto de los proyectos avalados. El seguimiento cobijará aspectos de ejecución, impactos esperados, y componentes financieros, incluido el uso </w:t>
      </w:r>
      <w:r w:rsidR="00A27EAF">
        <w:rPr>
          <w:rFonts w:cs="Arial"/>
        </w:rPr>
        <w:t xml:space="preserve">efectivo </w:t>
      </w:r>
      <w:r w:rsidR="00D651E8">
        <w:rPr>
          <w:rFonts w:cs="Arial"/>
        </w:rPr>
        <w:t>del incentivo reglamentado en este título.</w:t>
      </w:r>
    </w:p>
    <w:p w:rsidR="00D651E8" w:rsidRDefault="00A27EAF" w:rsidP="00597933">
      <w:pPr>
        <w:ind w:left="-567" w:right="-799"/>
        <w:jc w:val="both"/>
        <w:rPr>
          <w:rFonts w:cs="Arial"/>
        </w:rPr>
      </w:pPr>
      <w:r w:rsidRPr="00A27EAF">
        <w:rPr>
          <w:rFonts w:cs="Arial"/>
        </w:rPr>
        <w:t>Para el seguimiento se preverán aspectos de auditoría, revisoría fiscal, verificaciones de campo, tercerización, fiducia u otros que se encuentren pertinentes.</w:t>
      </w:r>
    </w:p>
    <w:p w:rsidR="00C13F40" w:rsidRPr="00597933" w:rsidRDefault="00C13F40" w:rsidP="00C7309C">
      <w:pPr>
        <w:ind w:left="-567" w:right="-799"/>
        <w:jc w:val="both"/>
        <w:rPr>
          <w:rFonts w:cs="Arial"/>
        </w:rPr>
      </w:pPr>
      <w:r>
        <w:rPr>
          <w:rFonts w:cs="Arial"/>
        </w:rPr>
        <w:t xml:space="preserve">Del seguimiento de los proyectos e incentivo asignado se informará a la DIAN. </w:t>
      </w:r>
    </w:p>
    <w:p w:rsidR="00A27EAF" w:rsidRPr="00A27EAF" w:rsidRDefault="00A27EAF" w:rsidP="00A27EAF">
      <w:pPr>
        <w:ind w:left="-567" w:right="-799"/>
        <w:jc w:val="center"/>
        <w:rPr>
          <w:rFonts w:cs="Arial"/>
          <w:b/>
        </w:rPr>
      </w:pPr>
      <w:r w:rsidRPr="00A27EAF">
        <w:rPr>
          <w:rFonts w:cs="Arial"/>
          <w:b/>
        </w:rPr>
        <w:t>CAPÍTULO III</w:t>
      </w:r>
    </w:p>
    <w:p w:rsidR="00A27EAF" w:rsidRPr="00A27EAF" w:rsidRDefault="00A27EAF" w:rsidP="00A27EAF">
      <w:pPr>
        <w:ind w:left="-567" w:right="-799"/>
        <w:jc w:val="center"/>
        <w:rPr>
          <w:rFonts w:cs="Arial"/>
          <w:b/>
        </w:rPr>
      </w:pPr>
      <w:r w:rsidRPr="00A27EAF">
        <w:rPr>
          <w:rFonts w:cs="Arial"/>
          <w:b/>
        </w:rPr>
        <w:t>APLICACIÓN DEL INCENTIVO</w:t>
      </w:r>
    </w:p>
    <w:p w:rsidR="00A27EAF" w:rsidRDefault="00A27EAF" w:rsidP="00BA58F4">
      <w:pPr>
        <w:ind w:left="-567" w:right="-799"/>
        <w:jc w:val="both"/>
        <w:rPr>
          <w:rFonts w:cs="Arial"/>
        </w:rPr>
      </w:pPr>
      <w:r w:rsidRPr="00A27EAF">
        <w:rPr>
          <w:rFonts w:cs="Arial"/>
          <w:b/>
        </w:rPr>
        <w:t>Artículo 2.11.2.3.1</w:t>
      </w:r>
      <w:r>
        <w:rPr>
          <w:rFonts w:cs="Arial"/>
        </w:rPr>
        <w:t xml:space="preserve">.  </w:t>
      </w:r>
      <w:r w:rsidRPr="00BA58F4">
        <w:rPr>
          <w:rFonts w:cs="Arial"/>
          <w:b/>
        </w:rPr>
        <w:t>Destinatarios</w:t>
      </w:r>
      <w:r>
        <w:rPr>
          <w:rFonts w:cs="Arial"/>
        </w:rPr>
        <w:t>. Los destinatarios del incentivo tributario reglamentado en este título, pueden ser:</w:t>
      </w:r>
    </w:p>
    <w:p w:rsidR="00A27EAF" w:rsidRPr="00A27EAF" w:rsidRDefault="00C13F40" w:rsidP="003D1057">
      <w:pPr>
        <w:pStyle w:val="Prrafodelista"/>
        <w:numPr>
          <w:ilvl w:val="0"/>
          <w:numId w:val="9"/>
        </w:numPr>
        <w:ind w:right="-799"/>
        <w:jc w:val="both"/>
        <w:rPr>
          <w:rFonts w:cs="Arial"/>
          <w:b/>
        </w:rPr>
      </w:pPr>
      <w:r>
        <w:rPr>
          <w:rFonts w:cs="Arial"/>
        </w:rPr>
        <w:t>Contribuyentes que sean p</w:t>
      </w:r>
      <w:r w:rsidR="00A27EAF">
        <w:rPr>
          <w:rFonts w:cs="Arial"/>
        </w:rPr>
        <w:t>ersonas jurídicas, públicas o privadas, que hagan inversiones o donaciones</w:t>
      </w:r>
      <w:r w:rsidR="00BA58F4">
        <w:rPr>
          <w:rFonts w:cs="Arial"/>
        </w:rPr>
        <w:t xml:space="preserve"> según el caso, </w:t>
      </w:r>
      <w:r w:rsidR="00A27EAF">
        <w:rPr>
          <w:rFonts w:cs="Arial"/>
        </w:rPr>
        <w:t>dirigidas a proyectos culturales y creativos</w:t>
      </w:r>
      <w:r w:rsidR="00BA58F4">
        <w:rPr>
          <w:rFonts w:cs="Arial"/>
        </w:rPr>
        <w:t xml:space="preserve"> </w:t>
      </w:r>
      <w:r w:rsidR="00A27EAF">
        <w:rPr>
          <w:rFonts w:cs="Arial"/>
        </w:rPr>
        <w:t>avalados en la convocatoria de aplicación</w:t>
      </w:r>
      <w:r w:rsidR="00BA58F4">
        <w:rPr>
          <w:rFonts w:cs="Arial"/>
        </w:rPr>
        <w:t xml:space="preserve"> y cuyos titulares sean personas naturales o jurídicas de objeto social cultural, creativo o social</w:t>
      </w:r>
      <w:r w:rsidR="00A27EAF">
        <w:rPr>
          <w:rFonts w:cs="Arial"/>
        </w:rPr>
        <w:t>.</w:t>
      </w:r>
    </w:p>
    <w:p w:rsidR="00C13F40" w:rsidRPr="00C13F40" w:rsidRDefault="00BA58F4" w:rsidP="00C13F40">
      <w:pPr>
        <w:pStyle w:val="Prrafodelista"/>
        <w:numPr>
          <w:ilvl w:val="0"/>
          <w:numId w:val="9"/>
        </w:numPr>
        <w:ind w:right="-799"/>
        <w:jc w:val="both"/>
        <w:rPr>
          <w:rFonts w:cs="Arial"/>
          <w:b/>
        </w:rPr>
      </w:pPr>
      <w:r>
        <w:rPr>
          <w:rFonts w:cs="Arial"/>
        </w:rPr>
        <w:t>M</w:t>
      </w:r>
      <w:r w:rsidRPr="00BA58F4">
        <w:rPr>
          <w:rFonts w:cs="Arial"/>
        </w:rPr>
        <w:t xml:space="preserve">icro, pequeñas y medianas empresas </w:t>
      </w:r>
      <w:r>
        <w:rPr>
          <w:rFonts w:cs="Arial"/>
        </w:rPr>
        <w:t>que hagan inversiones en proyectos propios.</w:t>
      </w:r>
    </w:p>
    <w:p w:rsidR="00BA58F4" w:rsidRPr="00C13F40" w:rsidRDefault="00BA58F4" w:rsidP="00C13F40">
      <w:pPr>
        <w:ind w:left="-567" w:right="-799"/>
        <w:jc w:val="both"/>
        <w:rPr>
          <w:rFonts w:cs="Arial"/>
          <w:b/>
        </w:rPr>
      </w:pPr>
      <w:r w:rsidRPr="00C13F40">
        <w:rPr>
          <w:rFonts w:cs="Arial"/>
        </w:rPr>
        <w:t>Las inversiones o donaciones serán exclusivamente en dinero.</w:t>
      </w:r>
    </w:p>
    <w:p w:rsidR="005D4E85" w:rsidRDefault="00BA58F4" w:rsidP="00BF5DB4">
      <w:pPr>
        <w:ind w:left="-567" w:right="-799"/>
        <w:jc w:val="both"/>
        <w:rPr>
          <w:rFonts w:cs="Arial"/>
        </w:rPr>
      </w:pPr>
      <w:r w:rsidRPr="005D4E85">
        <w:rPr>
          <w:rFonts w:cs="Arial"/>
          <w:b/>
        </w:rPr>
        <w:t>Artículo 2.11.2.3.2.</w:t>
      </w:r>
      <w:r w:rsidR="005D4E85" w:rsidRPr="005D4E85">
        <w:rPr>
          <w:rFonts w:cs="Arial"/>
          <w:b/>
        </w:rPr>
        <w:t xml:space="preserve"> Cobertura</w:t>
      </w:r>
      <w:r w:rsidR="005D4E85">
        <w:rPr>
          <w:rFonts w:cs="Arial"/>
        </w:rPr>
        <w:t xml:space="preserve">. El incentivo se aplicará sobre la declaración de renta que corresponda al año fiscal de la inversión o donación. </w:t>
      </w:r>
    </w:p>
    <w:p w:rsidR="00D651E8" w:rsidRDefault="005D4E85" w:rsidP="00BF5DB4">
      <w:pPr>
        <w:ind w:left="-567" w:right="-799"/>
        <w:jc w:val="both"/>
        <w:rPr>
          <w:rFonts w:cs="Arial"/>
        </w:rPr>
      </w:pPr>
      <w:r>
        <w:rPr>
          <w:rFonts w:cs="Arial"/>
        </w:rPr>
        <w:t>Del mismo modo, el incentivo cobija inversiones o donaciones ya efectuadas en el año fiscal, con independencia de la fecha en la que el proyecto sea avalado.</w:t>
      </w:r>
    </w:p>
    <w:p w:rsidR="00AE4D38" w:rsidRDefault="00AE4D38" w:rsidP="00AE4D38">
      <w:pPr>
        <w:ind w:left="-567" w:right="-799"/>
        <w:jc w:val="both"/>
        <w:rPr>
          <w:rFonts w:cs="Arial"/>
        </w:rPr>
      </w:pPr>
      <w:r w:rsidRPr="00AE4D38">
        <w:rPr>
          <w:rFonts w:cs="Arial"/>
          <w:b/>
        </w:rPr>
        <w:t>Parágrafo.</w:t>
      </w:r>
      <w:r>
        <w:rPr>
          <w:rFonts w:cs="Arial"/>
        </w:rPr>
        <w:t xml:space="preserve"> Los proyectos que tengan duración superior a un año, sin superar (3) años</w:t>
      </w:r>
      <w:r w:rsidR="00C13F40">
        <w:rPr>
          <w:rFonts w:cs="Arial"/>
        </w:rPr>
        <w:t>,</w:t>
      </w:r>
      <w:r>
        <w:rPr>
          <w:rFonts w:cs="Arial"/>
        </w:rPr>
        <w:t xml:space="preserve"> deben ser avalados año a año según reglas de la convocatoria. Para el segundo año</w:t>
      </w:r>
      <w:r w:rsidR="005753D3">
        <w:rPr>
          <w:rFonts w:cs="Arial"/>
        </w:rPr>
        <w:t xml:space="preserve"> en adelante</w:t>
      </w:r>
      <w:r>
        <w:rPr>
          <w:rFonts w:cs="Arial"/>
        </w:rPr>
        <w:t xml:space="preserve"> no será necesario concursar sino acreditar el cumplimiento del proyecto.</w:t>
      </w:r>
    </w:p>
    <w:p w:rsidR="00AE4D38" w:rsidRDefault="00AE4D38" w:rsidP="00BF5DB4">
      <w:pPr>
        <w:ind w:left="-567" w:right="-799"/>
        <w:jc w:val="both"/>
        <w:rPr>
          <w:rFonts w:cs="Arial"/>
        </w:rPr>
      </w:pPr>
      <w:r>
        <w:rPr>
          <w:rFonts w:cs="Arial"/>
        </w:rPr>
        <w:t xml:space="preserve">En todo caso sobre las inversiones o donaciones que el proyecto reciba se </w:t>
      </w:r>
      <w:r w:rsidR="009D7DA4">
        <w:rPr>
          <w:rFonts w:cs="Arial"/>
        </w:rPr>
        <w:t>aplicará lo dispuesto en este artículo en materia tributaria.</w:t>
      </w:r>
    </w:p>
    <w:p w:rsidR="00405711" w:rsidRDefault="009D7DA4" w:rsidP="00405711">
      <w:pPr>
        <w:ind w:left="-567" w:right="-799"/>
        <w:jc w:val="both"/>
        <w:rPr>
          <w:rFonts w:cs="Arial"/>
        </w:rPr>
      </w:pPr>
      <w:r w:rsidRPr="00310A2C">
        <w:rPr>
          <w:rFonts w:cs="Arial"/>
          <w:b/>
        </w:rPr>
        <w:t>Artículo 2.11.2.3.3.</w:t>
      </w:r>
      <w:r>
        <w:rPr>
          <w:rFonts w:cs="Arial"/>
        </w:rPr>
        <w:t xml:space="preserve"> </w:t>
      </w:r>
      <w:r w:rsidR="00310A2C" w:rsidRPr="00310A2C">
        <w:rPr>
          <w:rFonts w:cs="Arial"/>
          <w:b/>
        </w:rPr>
        <w:t>Manejo fiduciario</w:t>
      </w:r>
      <w:r w:rsidR="00310A2C">
        <w:rPr>
          <w:rFonts w:cs="Arial"/>
        </w:rPr>
        <w:t>. La inversión o donación debe manejarse en un encargo fiduciario o patrimonio autónomo</w:t>
      </w:r>
      <w:r w:rsidR="00405711">
        <w:rPr>
          <w:rFonts w:cs="Arial"/>
        </w:rPr>
        <w:t xml:space="preserve"> a nombre del proyecto. La entidad fiduciaria será la encargada de certificar el gasto de los recursos exclusivamente en los rubros del presupuesto aprobado con el aval del proyecto.</w:t>
      </w:r>
    </w:p>
    <w:p w:rsidR="005753D3" w:rsidRDefault="00405711" w:rsidP="003D5177">
      <w:pPr>
        <w:ind w:left="-567" w:right="-799"/>
        <w:jc w:val="both"/>
        <w:rPr>
          <w:rFonts w:cs="Arial"/>
        </w:rPr>
      </w:pPr>
      <w:r w:rsidRPr="00405711">
        <w:rPr>
          <w:rFonts w:cs="Arial"/>
          <w:b/>
        </w:rPr>
        <w:t>Parágrafo Primero</w:t>
      </w:r>
      <w:r>
        <w:rPr>
          <w:rFonts w:cs="Arial"/>
        </w:rPr>
        <w:t>. En casos excepcionales, teniendo en cuenta montos menores de inversión o donación total a cada proyecto y según parámetros de la convocatoria de aplicación (no superiores a 100 salarios mínimos legales mensuales vigentes), la convocatoria de aplicación podrá exceptuar de</w:t>
      </w:r>
      <w:r w:rsidR="00597933">
        <w:rPr>
          <w:rFonts w:cs="Arial"/>
        </w:rPr>
        <w:t xml:space="preserve"> </w:t>
      </w:r>
      <w:r>
        <w:rPr>
          <w:rFonts w:cs="Arial"/>
        </w:rPr>
        <w:t xml:space="preserve">la participación de la entidad fiduciaria, </w:t>
      </w:r>
    </w:p>
    <w:p w:rsidR="005753D3" w:rsidRDefault="005753D3" w:rsidP="003D5177">
      <w:pPr>
        <w:ind w:left="-567" w:right="-799"/>
        <w:jc w:val="both"/>
        <w:rPr>
          <w:rFonts w:cs="Arial"/>
        </w:rPr>
      </w:pPr>
    </w:p>
    <w:p w:rsidR="00405711" w:rsidRDefault="00405711" w:rsidP="003D5177">
      <w:pPr>
        <w:ind w:left="-567" w:right="-799"/>
        <w:jc w:val="both"/>
        <w:rPr>
          <w:rFonts w:cs="Arial"/>
        </w:rPr>
      </w:pPr>
      <w:r>
        <w:rPr>
          <w:rFonts w:cs="Arial"/>
        </w:rPr>
        <w:t>siempre que pueda acreditarse el manejo de los recursos en una cuenta financiera exclusiva y la canalización de los recursos a fines del proyecto.</w:t>
      </w:r>
    </w:p>
    <w:p w:rsidR="00405711" w:rsidRDefault="00405711" w:rsidP="00BF5DB4">
      <w:pPr>
        <w:ind w:left="-567" w:right="-799"/>
        <w:jc w:val="both"/>
        <w:rPr>
          <w:rFonts w:cs="Arial"/>
        </w:rPr>
      </w:pPr>
      <w:r w:rsidRPr="00405711">
        <w:rPr>
          <w:rFonts w:cs="Arial"/>
          <w:b/>
        </w:rPr>
        <w:t>Parágrafo</w:t>
      </w:r>
      <w:r>
        <w:rPr>
          <w:rFonts w:cs="Arial"/>
          <w:b/>
        </w:rPr>
        <w:t xml:space="preserve"> Segundo</w:t>
      </w:r>
      <w:r w:rsidRPr="00405711">
        <w:rPr>
          <w:rFonts w:cs="Arial"/>
          <w:b/>
        </w:rPr>
        <w:t>.</w:t>
      </w:r>
      <w:r>
        <w:rPr>
          <w:rFonts w:cs="Arial"/>
        </w:rPr>
        <w:t xml:space="preserve"> No será necesaria la presencia de la entidad fiduciaria, en los proyectos propios de M</w:t>
      </w:r>
      <w:r w:rsidRPr="00BA58F4">
        <w:rPr>
          <w:rFonts w:cs="Arial"/>
        </w:rPr>
        <w:t>icro, pequeñas y medianas empresas</w:t>
      </w:r>
      <w:r>
        <w:rPr>
          <w:rFonts w:cs="Arial"/>
        </w:rPr>
        <w:t xml:space="preserve">. </w:t>
      </w:r>
    </w:p>
    <w:p w:rsidR="00C13F40" w:rsidRPr="00C13F40" w:rsidRDefault="00C13F40" w:rsidP="00BF5DB4">
      <w:pPr>
        <w:ind w:left="-567" w:right="-799"/>
        <w:jc w:val="both"/>
        <w:rPr>
          <w:rFonts w:cs="Arial"/>
        </w:rPr>
      </w:pPr>
      <w:r>
        <w:rPr>
          <w:rFonts w:cs="Arial"/>
          <w:b/>
        </w:rPr>
        <w:t xml:space="preserve">Parágrafo Tercero. </w:t>
      </w:r>
      <w:r w:rsidRPr="00C13F40">
        <w:rPr>
          <w:rFonts w:cs="Arial"/>
        </w:rPr>
        <w:t xml:space="preserve">La convocatoria de aplicación definirá los requisitos y condiciones que deben cumplir las entidades fiduciarias. </w:t>
      </w:r>
    </w:p>
    <w:p w:rsidR="004F6D08" w:rsidRDefault="00597933" w:rsidP="004F6D08">
      <w:pPr>
        <w:ind w:left="-567" w:right="-799"/>
        <w:jc w:val="both"/>
        <w:rPr>
          <w:rFonts w:cs="Arial"/>
        </w:rPr>
      </w:pPr>
      <w:r w:rsidRPr="0091704D">
        <w:rPr>
          <w:rFonts w:cs="Arial"/>
          <w:b/>
        </w:rPr>
        <w:t>Artículo 2.1</w:t>
      </w:r>
      <w:r w:rsidR="006A2DA8">
        <w:rPr>
          <w:rFonts w:cs="Arial"/>
          <w:b/>
        </w:rPr>
        <w:t xml:space="preserve">1.2.3.4. </w:t>
      </w:r>
      <w:r w:rsidRPr="0091704D">
        <w:rPr>
          <w:rFonts w:cs="Arial"/>
          <w:b/>
        </w:rPr>
        <w:t xml:space="preserve">Emisión de Certificados de Inversión </w:t>
      </w:r>
      <w:r w:rsidR="006A2DA8">
        <w:rPr>
          <w:rFonts w:cs="Arial"/>
          <w:b/>
        </w:rPr>
        <w:t>o Donación</w:t>
      </w:r>
      <w:r w:rsidRPr="0091704D">
        <w:rPr>
          <w:rFonts w:cs="Arial"/>
          <w:b/>
        </w:rPr>
        <w:t xml:space="preserve">. </w:t>
      </w:r>
      <w:r w:rsidRPr="0091704D">
        <w:rPr>
          <w:rFonts w:cs="Arial"/>
        </w:rPr>
        <w:t xml:space="preserve">La emisión de los Certificados </w:t>
      </w:r>
      <w:r>
        <w:rPr>
          <w:rFonts w:cs="Arial"/>
        </w:rPr>
        <w:t>de Inversión o Donación a proyectos culturales y creativos</w:t>
      </w:r>
      <w:r w:rsidRPr="0091704D">
        <w:rPr>
          <w:rFonts w:cs="Arial"/>
        </w:rPr>
        <w:t xml:space="preserve"> está a cargo del Ministerio de Cultura, basándose para este fin en</w:t>
      </w:r>
      <w:r>
        <w:rPr>
          <w:rFonts w:cs="Arial"/>
        </w:rPr>
        <w:t xml:space="preserve"> las acreditaciones de utilización de los recursos en los fines del proyecto.</w:t>
      </w:r>
    </w:p>
    <w:p w:rsidR="00597933" w:rsidRPr="0091704D" w:rsidRDefault="00597933" w:rsidP="004F6D08">
      <w:pPr>
        <w:ind w:left="-567" w:right="-799"/>
        <w:jc w:val="both"/>
        <w:rPr>
          <w:rFonts w:cs="Arial"/>
        </w:rPr>
      </w:pPr>
      <w:r w:rsidRPr="0091704D">
        <w:rPr>
          <w:rFonts w:cs="Arial"/>
        </w:rPr>
        <w:t>La emisión de</w:t>
      </w:r>
      <w:r w:rsidR="006A2DA8">
        <w:rPr>
          <w:rFonts w:cs="Arial"/>
        </w:rPr>
        <w:t xml:space="preserve"> estos </w:t>
      </w:r>
      <w:r w:rsidRPr="0091704D">
        <w:rPr>
          <w:rFonts w:cs="Arial"/>
        </w:rPr>
        <w:t>no podr</w:t>
      </w:r>
      <w:r>
        <w:rPr>
          <w:rFonts w:cs="Arial"/>
        </w:rPr>
        <w:t>á</w:t>
      </w:r>
      <w:r w:rsidRPr="0091704D">
        <w:rPr>
          <w:rFonts w:cs="Arial"/>
        </w:rPr>
        <w:t xml:space="preserve"> exceder del primer mes del año calendario siguiente al año fiscal de realización efectiva de la inversión por la empresa productora titular del proyecto </w:t>
      </w:r>
      <w:r w:rsidR="0069684C">
        <w:rPr>
          <w:rFonts w:cs="Arial"/>
        </w:rPr>
        <w:t>cultural y creativo</w:t>
      </w:r>
      <w:r w:rsidRPr="0091704D">
        <w:rPr>
          <w:rFonts w:cs="Arial"/>
        </w:rPr>
        <w:t xml:space="preserve">. </w:t>
      </w:r>
    </w:p>
    <w:p w:rsidR="00597933" w:rsidRPr="0091704D" w:rsidRDefault="00597933" w:rsidP="00597933">
      <w:pPr>
        <w:ind w:left="-567" w:right="-799"/>
        <w:jc w:val="both"/>
        <w:rPr>
          <w:rFonts w:cs="Arial"/>
        </w:rPr>
      </w:pPr>
      <w:r w:rsidRPr="0091704D">
        <w:rPr>
          <w:rFonts w:cs="Arial"/>
          <w:b/>
        </w:rPr>
        <w:t>Artículo 2.1</w:t>
      </w:r>
      <w:r w:rsidR="006A2DA8">
        <w:rPr>
          <w:rFonts w:cs="Arial"/>
          <w:b/>
        </w:rPr>
        <w:t xml:space="preserve">1.2.3.5. </w:t>
      </w:r>
      <w:r w:rsidRPr="0091704D">
        <w:rPr>
          <w:rFonts w:cs="Arial"/>
          <w:b/>
        </w:rPr>
        <w:t xml:space="preserve">Contenido de los </w:t>
      </w:r>
      <w:r w:rsidRPr="002C05DB">
        <w:rPr>
          <w:rFonts w:cs="Arial"/>
          <w:b/>
        </w:rPr>
        <w:t xml:space="preserve">Certificados de Inversión </w:t>
      </w:r>
      <w:r w:rsidR="002C05DB" w:rsidRPr="002C05DB">
        <w:rPr>
          <w:rFonts w:cs="Arial"/>
          <w:b/>
        </w:rPr>
        <w:t xml:space="preserve">o Donación. </w:t>
      </w:r>
      <w:r w:rsidRPr="002C05DB">
        <w:rPr>
          <w:rFonts w:cs="Arial"/>
        </w:rPr>
        <w:t>Los</w:t>
      </w:r>
      <w:r w:rsidRPr="0091704D">
        <w:rPr>
          <w:rFonts w:cs="Arial"/>
        </w:rPr>
        <w:t xml:space="preserve"> Certificados de Inversión</w:t>
      </w:r>
      <w:r w:rsidR="004B2BD4">
        <w:rPr>
          <w:rFonts w:cs="Arial"/>
        </w:rPr>
        <w:t xml:space="preserve"> o Donación a proyectos culturales y creativos que amparen el incentivo tributario reglamentado en este Título</w:t>
      </w:r>
      <w:r w:rsidRPr="0091704D">
        <w:rPr>
          <w:rFonts w:cs="Arial"/>
        </w:rPr>
        <w:t xml:space="preserve"> contendrán, como mínimo, la siguiente información:</w:t>
      </w:r>
    </w:p>
    <w:p w:rsidR="00597933" w:rsidRDefault="00597933" w:rsidP="003D1057">
      <w:pPr>
        <w:pStyle w:val="Prrafodelista"/>
        <w:numPr>
          <w:ilvl w:val="0"/>
          <w:numId w:val="10"/>
        </w:numPr>
        <w:ind w:right="-799"/>
        <w:jc w:val="both"/>
        <w:rPr>
          <w:rFonts w:cs="Arial"/>
        </w:rPr>
      </w:pPr>
      <w:r w:rsidRPr="0091704D">
        <w:rPr>
          <w:rFonts w:cs="Arial"/>
        </w:rPr>
        <w:t>Identificación de</w:t>
      </w:r>
      <w:r w:rsidR="004B2BD4">
        <w:rPr>
          <w:rFonts w:cs="Arial"/>
        </w:rPr>
        <w:t xml:space="preserve">l titular del proyecto cultural y creativo. </w:t>
      </w:r>
    </w:p>
    <w:p w:rsidR="00597933" w:rsidRPr="0091704D" w:rsidRDefault="00597933" w:rsidP="00597933">
      <w:pPr>
        <w:pStyle w:val="Prrafodelista"/>
        <w:ind w:left="-207" w:right="-799"/>
        <w:jc w:val="both"/>
        <w:rPr>
          <w:rFonts w:cs="Arial"/>
        </w:rPr>
      </w:pPr>
    </w:p>
    <w:p w:rsidR="00597933" w:rsidRPr="0091704D" w:rsidRDefault="00597933" w:rsidP="003D1057">
      <w:pPr>
        <w:pStyle w:val="Prrafodelista"/>
        <w:numPr>
          <w:ilvl w:val="0"/>
          <w:numId w:val="10"/>
        </w:numPr>
        <w:ind w:right="-799"/>
        <w:jc w:val="both"/>
        <w:rPr>
          <w:rFonts w:cs="Arial"/>
        </w:rPr>
      </w:pPr>
      <w:r w:rsidRPr="0091704D">
        <w:rPr>
          <w:rFonts w:cs="Arial"/>
        </w:rPr>
        <w:t xml:space="preserve">Título y </w:t>
      </w:r>
      <w:r w:rsidR="004B2BD4">
        <w:rPr>
          <w:rFonts w:cs="Arial"/>
        </w:rPr>
        <w:t xml:space="preserve">tipología del proyecto. </w:t>
      </w:r>
    </w:p>
    <w:p w:rsidR="00597933" w:rsidRPr="0091704D" w:rsidRDefault="00597933" w:rsidP="00597933">
      <w:pPr>
        <w:pStyle w:val="Prrafodelista"/>
        <w:rPr>
          <w:rFonts w:cs="Arial"/>
        </w:rPr>
      </w:pPr>
    </w:p>
    <w:p w:rsidR="00597933" w:rsidRDefault="00597933" w:rsidP="003D1057">
      <w:pPr>
        <w:pStyle w:val="Prrafodelista"/>
        <w:numPr>
          <w:ilvl w:val="0"/>
          <w:numId w:val="10"/>
        </w:numPr>
        <w:ind w:right="-799"/>
        <w:jc w:val="both"/>
        <w:rPr>
          <w:rFonts w:cs="Arial"/>
        </w:rPr>
      </w:pPr>
      <w:r w:rsidRPr="0091704D">
        <w:rPr>
          <w:rFonts w:cs="Arial"/>
        </w:rPr>
        <w:t>Fecha de</w:t>
      </w:r>
      <w:r w:rsidR="004B2BD4">
        <w:rPr>
          <w:rFonts w:cs="Arial"/>
        </w:rPr>
        <w:t xml:space="preserve"> aprobación del proyecto. </w:t>
      </w:r>
    </w:p>
    <w:p w:rsidR="00410719" w:rsidRPr="00410719" w:rsidRDefault="00410719" w:rsidP="00410719">
      <w:pPr>
        <w:pStyle w:val="Prrafodelista"/>
        <w:rPr>
          <w:rFonts w:cs="Arial"/>
        </w:rPr>
      </w:pPr>
    </w:p>
    <w:p w:rsidR="00410719" w:rsidRPr="0091704D" w:rsidRDefault="00410719" w:rsidP="003D1057">
      <w:pPr>
        <w:pStyle w:val="Prrafodelista"/>
        <w:numPr>
          <w:ilvl w:val="0"/>
          <w:numId w:val="10"/>
        </w:numPr>
        <w:ind w:right="-799"/>
        <w:jc w:val="both"/>
        <w:rPr>
          <w:rFonts w:cs="Arial"/>
        </w:rPr>
      </w:pPr>
      <w:r>
        <w:rPr>
          <w:rFonts w:cs="Arial"/>
        </w:rPr>
        <w:t>Identificación de la persona jurídica inversionista o donante.</w:t>
      </w:r>
    </w:p>
    <w:p w:rsidR="00597933" w:rsidRPr="0091704D" w:rsidRDefault="00597933" w:rsidP="00597933">
      <w:pPr>
        <w:pStyle w:val="Prrafodelista"/>
        <w:ind w:left="-207" w:right="-799"/>
        <w:jc w:val="both"/>
        <w:rPr>
          <w:rFonts w:cs="Arial"/>
        </w:rPr>
      </w:pPr>
    </w:p>
    <w:p w:rsidR="00597933" w:rsidRPr="0091704D" w:rsidRDefault="00597933" w:rsidP="003D1057">
      <w:pPr>
        <w:pStyle w:val="Prrafodelista"/>
        <w:numPr>
          <w:ilvl w:val="0"/>
          <w:numId w:val="10"/>
        </w:numPr>
        <w:ind w:right="-799"/>
        <w:jc w:val="both"/>
        <w:rPr>
          <w:rFonts w:cs="Arial"/>
        </w:rPr>
      </w:pPr>
      <w:r w:rsidRPr="0091704D">
        <w:rPr>
          <w:rFonts w:cs="Arial"/>
        </w:rPr>
        <w:t>Año fiscal de la inversión</w:t>
      </w:r>
      <w:r w:rsidR="004B2BD4">
        <w:rPr>
          <w:rFonts w:cs="Arial"/>
        </w:rPr>
        <w:t xml:space="preserve"> o donación</w:t>
      </w:r>
      <w:r w:rsidRPr="0091704D">
        <w:rPr>
          <w:rFonts w:cs="Arial"/>
        </w:rPr>
        <w:t>.</w:t>
      </w:r>
    </w:p>
    <w:p w:rsidR="00597933" w:rsidRPr="0091704D" w:rsidRDefault="00597933" w:rsidP="00597933">
      <w:pPr>
        <w:pStyle w:val="Prrafodelista"/>
        <w:rPr>
          <w:rFonts w:cs="Arial"/>
        </w:rPr>
      </w:pPr>
    </w:p>
    <w:p w:rsidR="00597933" w:rsidRPr="0091704D" w:rsidRDefault="00597933" w:rsidP="003D1057">
      <w:pPr>
        <w:pStyle w:val="Prrafodelista"/>
        <w:numPr>
          <w:ilvl w:val="0"/>
          <w:numId w:val="10"/>
        </w:numPr>
        <w:ind w:right="-799"/>
        <w:jc w:val="both"/>
        <w:rPr>
          <w:rFonts w:cs="Arial"/>
        </w:rPr>
      </w:pPr>
      <w:r w:rsidRPr="0091704D">
        <w:rPr>
          <w:rFonts w:cs="Arial"/>
        </w:rPr>
        <w:t>Monto de la inversión</w:t>
      </w:r>
      <w:r w:rsidR="004B2BD4">
        <w:rPr>
          <w:rFonts w:cs="Arial"/>
        </w:rPr>
        <w:t xml:space="preserve"> o donación. </w:t>
      </w:r>
    </w:p>
    <w:p w:rsidR="00597933" w:rsidRPr="0091704D" w:rsidRDefault="00597933" w:rsidP="00597933">
      <w:pPr>
        <w:pStyle w:val="Prrafodelista"/>
        <w:rPr>
          <w:rFonts w:cs="Arial"/>
        </w:rPr>
      </w:pPr>
    </w:p>
    <w:p w:rsidR="00410719" w:rsidRDefault="004B2BD4" w:rsidP="003D1057">
      <w:pPr>
        <w:pStyle w:val="Prrafodelista"/>
        <w:numPr>
          <w:ilvl w:val="0"/>
          <w:numId w:val="10"/>
        </w:numPr>
        <w:ind w:right="-799"/>
        <w:jc w:val="both"/>
        <w:rPr>
          <w:rFonts w:cs="Arial"/>
        </w:rPr>
      </w:pPr>
      <w:r>
        <w:rPr>
          <w:rFonts w:cs="Arial"/>
        </w:rPr>
        <w:t>Especificación del incentivo tributario que representa para el inversionista o donante</w:t>
      </w:r>
      <w:r w:rsidR="00410719">
        <w:rPr>
          <w:rFonts w:cs="Arial"/>
        </w:rPr>
        <w:t>:</w:t>
      </w:r>
      <w:r>
        <w:rPr>
          <w:rFonts w:cs="Arial"/>
        </w:rPr>
        <w:t xml:space="preserve"> (165%) del valor </w:t>
      </w:r>
      <w:r w:rsidR="00410719">
        <w:rPr>
          <w:rFonts w:cs="Arial"/>
        </w:rPr>
        <w:t xml:space="preserve">de la inversión o donación certificada. </w:t>
      </w:r>
    </w:p>
    <w:p w:rsidR="00410719" w:rsidRPr="00410719" w:rsidRDefault="00410719" w:rsidP="00410719">
      <w:pPr>
        <w:pStyle w:val="Prrafodelista"/>
        <w:rPr>
          <w:rFonts w:cs="Arial"/>
        </w:rPr>
      </w:pPr>
    </w:p>
    <w:p w:rsidR="00410719" w:rsidRDefault="00597933" w:rsidP="003D1057">
      <w:pPr>
        <w:pStyle w:val="Prrafodelista"/>
        <w:numPr>
          <w:ilvl w:val="0"/>
          <w:numId w:val="10"/>
        </w:numPr>
        <w:ind w:right="-799"/>
        <w:jc w:val="both"/>
        <w:rPr>
          <w:rFonts w:cs="Arial"/>
        </w:rPr>
      </w:pPr>
      <w:r w:rsidRPr="00410719">
        <w:rPr>
          <w:rFonts w:cs="Arial"/>
        </w:rPr>
        <w:t>Nombre de la entidad fiduciaria y NIT</w:t>
      </w:r>
      <w:r w:rsidR="00410719">
        <w:rPr>
          <w:rFonts w:cs="Arial"/>
        </w:rPr>
        <w:t>, en su caso.</w:t>
      </w:r>
    </w:p>
    <w:p w:rsidR="00410719" w:rsidRPr="00410719" w:rsidRDefault="00410719" w:rsidP="00410719">
      <w:pPr>
        <w:pStyle w:val="Prrafodelista"/>
        <w:rPr>
          <w:rFonts w:cs="Arial"/>
          <w:b/>
        </w:rPr>
      </w:pPr>
    </w:p>
    <w:p w:rsidR="00410719" w:rsidRPr="00410719" w:rsidRDefault="00410719" w:rsidP="00410719">
      <w:pPr>
        <w:ind w:left="-567" w:right="-799"/>
        <w:jc w:val="both"/>
        <w:rPr>
          <w:rFonts w:cs="Arial"/>
        </w:rPr>
      </w:pPr>
      <w:r w:rsidRPr="00410719">
        <w:rPr>
          <w:rFonts w:cs="Arial"/>
          <w:b/>
        </w:rPr>
        <w:t>Parágrafo.</w:t>
      </w:r>
      <w:r w:rsidRPr="0091704D">
        <w:t xml:space="preserve"> </w:t>
      </w:r>
      <w:r w:rsidRPr="00410719">
        <w:rPr>
          <w:rFonts w:cs="Arial"/>
        </w:rPr>
        <w:t>El Ministerio de Cultura informará trimestralmente en cada año calendario a la Dirección de Impuestos y Aduanas Nacionales, acerca de los Certificados de Inversión</w:t>
      </w:r>
      <w:r>
        <w:rPr>
          <w:rFonts w:cs="Arial"/>
        </w:rPr>
        <w:t xml:space="preserve"> y Donación emitidos</w:t>
      </w:r>
      <w:r w:rsidRPr="00410719">
        <w:rPr>
          <w:rFonts w:cs="Arial"/>
        </w:rPr>
        <w:t>, con los datos establecidos en este artículo.</w:t>
      </w:r>
    </w:p>
    <w:p w:rsidR="00656B07" w:rsidRPr="00C13F40" w:rsidRDefault="008112F0" w:rsidP="00BF5DB4">
      <w:pPr>
        <w:ind w:left="-567" w:right="-799"/>
        <w:jc w:val="both"/>
        <w:rPr>
          <w:rFonts w:cs="Arial"/>
        </w:rPr>
      </w:pPr>
      <w:r>
        <w:rPr>
          <w:rFonts w:cs="Arial"/>
          <w:b/>
        </w:rPr>
        <w:t xml:space="preserve">Artículo 2.11.2.3.6. </w:t>
      </w:r>
      <w:r w:rsidR="008D7D79">
        <w:rPr>
          <w:rFonts w:cs="Arial"/>
          <w:b/>
        </w:rPr>
        <w:t xml:space="preserve">Negociabilidad. </w:t>
      </w:r>
      <w:r w:rsidR="00656B07" w:rsidRPr="00656B07">
        <w:rPr>
          <w:rFonts w:cs="Arial"/>
        </w:rPr>
        <w:t>De acuerdo con el artículo 180º de la Ley 1955 de 2019,</w:t>
      </w:r>
      <w:r w:rsidR="00656B07">
        <w:rPr>
          <w:rFonts w:cs="Arial"/>
          <w:b/>
        </w:rPr>
        <w:t xml:space="preserve"> </w:t>
      </w:r>
      <w:r w:rsidR="00BA4647">
        <w:rPr>
          <w:rFonts w:cs="Arial"/>
        </w:rPr>
        <w:t>l</w:t>
      </w:r>
      <w:r w:rsidR="00C13F40" w:rsidRPr="00C13F40">
        <w:rPr>
          <w:rFonts w:cs="Arial"/>
        </w:rPr>
        <w:t xml:space="preserve">os certificados de inversión que se generen para amparar el incentivo serán a la orden negociables en el mercado. </w:t>
      </w:r>
    </w:p>
    <w:p w:rsidR="00656B07" w:rsidRDefault="00656B07" w:rsidP="00656B07">
      <w:pPr>
        <w:spacing w:after="0" w:line="240" w:lineRule="auto"/>
        <w:ind w:left="-567" w:right="-799"/>
        <w:jc w:val="both"/>
        <w:rPr>
          <w:rFonts w:cs="Arial"/>
        </w:rPr>
      </w:pPr>
      <w:r w:rsidRPr="00656B07">
        <w:rPr>
          <w:rFonts w:cs="Arial"/>
          <w:b/>
        </w:rPr>
        <w:t>Articulo 2.1</w:t>
      </w:r>
      <w:r w:rsidR="001A4B01">
        <w:rPr>
          <w:rFonts w:cs="Arial"/>
          <w:b/>
        </w:rPr>
        <w:t>1</w:t>
      </w:r>
      <w:r w:rsidRPr="00656B07">
        <w:rPr>
          <w:rFonts w:cs="Arial"/>
          <w:b/>
        </w:rPr>
        <w:t>.2.</w:t>
      </w:r>
      <w:r w:rsidR="001A4B01">
        <w:rPr>
          <w:rFonts w:cs="Arial"/>
          <w:b/>
        </w:rPr>
        <w:t>3</w:t>
      </w:r>
      <w:r w:rsidRPr="00656B07">
        <w:rPr>
          <w:rFonts w:cs="Arial"/>
          <w:b/>
        </w:rPr>
        <w:t>.</w:t>
      </w:r>
      <w:r w:rsidR="000B3B45">
        <w:rPr>
          <w:rFonts w:cs="Arial"/>
          <w:b/>
        </w:rPr>
        <w:t>7</w:t>
      </w:r>
      <w:r w:rsidRPr="00656B07">
        <w:rPr>
          <w:rFonts w:cs="Arial"/>
          <w:b/>
        </w:rPr>
        <w:t xml:space="preserve">. Responsabilidad de las entidades fiduciarias. </w:t>
      </w:r>
      <w:r w:rsidRPr="00656B07">
        <w:rPr>
          <w:rFonts w:cs="Arial"/>
        </w:rPr>
        <w:t>Las</w:t>
      </w:r>
      <w:r>
        <w:rPr>
          <w:rFonts w:cs="Arial"/>
        </w:rPr>
        <w:t xml:space="preserve"> </w:t>
      </w:r>
      <w:r w:rsidRPr="00656B07">
        <w:rPr>
          <w:rFonts w:cs="Arial"/>
        </w:rPr>
        <w:t>fiduciarias que administren recursos para el desarrollo de proyectos</w:t>
      </w:r>
      <w:r>
        <w:rPr>
          <w:rFonts w:cs="Arial"/>
        </w:rPr>
        <w:t xml:space="preserve"> certificarán los gastos con destino a los rubros y presupuesto aprobado de los proyectos.</w:t>
      </w:r>
    </w:p>
    <w:p w:rsidR="00656B07" w:rsidRDefault="00656B07" w:rsidP="00656B07">
      <w:pPr>
        <w:spacing w:after="0" w:line="240" w:lineRule="auto"/>
        <w:ind w:left="-567" w:right="-799"/>
        <w:jc w:val="both"/>
        <w:rPr>
          <w:rFonts w:cs="Arial"/>
        </w:rPr>
      </w:pPr>
    </w:p>
    <w:p w:rsidR="00656B07" w:rsidRDefault="00656B07" w:rsidP="00656B07">
      <w:pPr>
        <w:spacing w:after="0" w:line="240" w:lineRule="auto"/>
        <w:ind w:left="-567" w:right="-799"/>
        <w:jc w:val="both"/>
        <w:rPr>
          <w:rFonts w:cs="Arial"/>
        </w:rPr>
      </w:pPr>
      <w:r w:rsidRPr="00656B07">
        <w:rPr>
          <w:rFonts w:cs="Arial"/>
        </w:rPr>
        <w:t xml:space="preserve">El Ministerio de Cultura </w:t>
      </w:r>
      <w:r>
        <w:rPr>
          <w:rFonts w:cs="Arial"/>
        </w:rPr>
        <w:t xml:space="preserve">especificará </w:t>
      </w:r>
      <w:r w:rsidRPr="00656B07">
        <w:rPr>
          <w:rFonts w:cs="Arial"/>
        </w:rPr>
        <w:t>cláusulas mínimas en los contratos</w:t>
      </w:r>
      <w:r>
        <w:rPr>
          <w:rFonts w:cs="Arial"/>
        </w:rPr>
        <w:t xml:space="preserve"> </w:t>
      </w:r>
      <w:r w:rsidRPr="00656B07">
        <w:rPr>
          <w:rFonts w:cs="Arial"/>
        </w:rPr>
        <w:t>fiduciarios entre</w:t>
      </w:r>
      <w:r>
        <w:rPr>
          <w:rFonts w:cs="Arial"/>
        </w:rPr>
        <w:t xml:space="preserve"> el titular del proyecto </w:t>
      </w:r>
      <w:r w:rsidRPr="00656B07">
        <w:rPr>
          <w:rFonts w:cs="Arial"/>
        </w:rPr>
        <w:t xml:space="preserve">y la entidad fiduciaria. </w:t>
      </w:r>
      <w:r>
        <w:rPr>
          <w:rFonts w:cs="Arial"/>
        </w:rPr>
        <w:t>Igualmente, puede exigir requisitos mínimos de calificación de las fiduciarias por intermedio de las cuales se administren las inversiones o donaciones de que trata este Título.</w:t>
      </w:r>
    </w:p>
    <w:p w:rsidR="00C7309C" w:rsidRDefault="00C7309C" w:rsidP="00656B07">
      <w:pPr>
        <w:spacing w:after="0" w:line="240" w:lineRule="auto"/>
        <w:ind w:left="-567" w:right="-799"/>
        <w:jc w:val="both"/>
        <w:rPr>
          <w:rFonts w:cs="Arial"/>
        </w:rPr>
      </w:pPr>
    </w:p>
    <w:p w:rsidR="00C7309C" w:rsidRDefault="00C7309C" w:rsidP="00656B07">
      <w:pPr>
        <w:spacing w:after="0" w:line="240" w:lineRule="auto"/>
        <w:ind w:left="-567" w:right="-799"/>
        <w:jc w:val="both"/>
        <w:rPr>
          <w:rFonts w:cs="Arial"/>
        </w:rPr>
      </w:pPr>
      <w:r>
        <w:rPr>
          <w:rFonts w:cs="Arial"/>
        </w:rPr>
        <w:t>L</w:t>
      </w:r>
      <w:r w:rsidRPr="00C7309C">
        <w:rPr>
          <w:rFonts w:cs="Arial"/>
        </w:rPr>
        <w:t>a entidad fiduciaria celebrará de manera diligente y eficiente todos los actos jurídicos necesarios para cumplir con el objeto del encargo o contrato fiduciario en atención a</w:t>
      </w:r>
      <w:r>
        <w:rPr>
          <w:rFonts w:cs="Arial"/>
        </w:rPr>
        <w:t xml:space="preserve"> los parámetros que defina el Ministerio de Cultura. </w:t>
      </w:r>
    </w:p>
    <w:p w:rsidR="0058681D" w:rsidRDefault="0058681D" w:rsidP="003D5177">
      <w:pPr>
        <w:spacing w:after="0" w:line="240" w:lineRule="auto"/>
        <w:ind w:right="-799"/>
        <w:rPr>
          <w:rFonts w:cs="Arial"/>
          <w:b/>
        </w:rPr>
      </w:pPr>
    </w:p>
    <w:p w:rsidR="0089212D" w:rsidRPr="001A4B01" w:rsidRDefault="0089212D" w:rsidP="001A4B01">
      <w:pPr>
        <w:spacing w:after="0" w:line="240" w:lineRule="auto"/>
        <w:ind w:left="-567" w:right="-799"/>
        <w:jc w:val="center"/>
        <w:rPr>
          <w:rFonts w:cs="Arial"/>
          <w:b/>
        </w:rPr>
      </w:pPr>
      <w:r w:rsidRPr="001A4B01">
        <w:rPr>
          <w:rFonts w:cs="Arial"/>
          <w:b/>
        </w:rPr>
        <w:t xml:space="preserve">CAPÍTULO </w:t>
      </w:r>
      <w:r w:rsidR="001A4B01" w:rsidRPr="001A4B01">
        <w:rPr>
          <w:rFonts w:cs="Arial"/>
          <w:b/>
        </w:rPr>
        <w:t>IV</w:t>
      </w:r>
    </w:p>
    <w:p w:rsidR="001A4B01" w:rsidRPr="001A4B01" w:rsidRDefault="001A4B01" w:rsidP="001A4B01">
      <w:pPr>
        <w:spacing w:after="0" w:line="240" w:lineRule="auto"/>
        <w:ind w:left="-567" w:right="-799"/>
        <w:jc w:val="center"/>
        <w:rPr>
          <w:rFonts w:cs="Arial"/>
          <w:b/>
        </w:rPr>
      </w:pPr>
    </w:p>
    <w:p w:rsidR="001A4B01" w:rsidRPr="001A4B01" w:rsidRDefault="001A4B01" w:rsidP="001A4B01">
      <w:pPr>
        <w:spacing w:after="0" w:line="240" w:lineRule="auto"/>
        <w:ind w:left="-567" w:right="-799"/>
        <w:jc w:val="center"/>
        <w:rPr>
          <w:rFonts w:cs="Arial"/>
          <w:b/>
        </w:rPr>
      </w:pPr>
      <w:r w:rsidRPr="001A4B01">
        <w:rPr>
          <w:rFonts w:cs="Arial"/>
          <w:b/>
        </w:rPr>
        <w:t>OPERATIVIDAD DEL SISTEMA</w:t>
      </w:r>
    </w:p>
    <w:p w:rsidR="001A4B01" w:rsidRDefault="001A4B01" w:rsidP="00656B07">
      <w:pPr>
        <w:spacing w:after="0" w:line="240" w:lineRule="auto"/>
        <w:ind w:left="-567" w:right="-799"/>
        <w:jc w:val="both"/>
        <w:rPr>
          <w:rFonts w:cs="Arial"/>
        </w:rPr>
      </w:pPr>
    </w:p>
    <w:p w:rsidR="00BA4647" w:rsidRDefault="00BA4647" w:rsidP="0058681D">
      <w:pPr>
        <w:spacing w:after="0" w:line="240" w:lineRule="auto"/>
        <w:ind w:left="-567" w:right="-799"/>
        <w:jc w:val="both"/>
        <w:rPr>
          <w:rFonts w:cs="Arial"/>
          <w:b/>
        </w:rPr>
      </w:pPr>
    </w:p>
    <w:p w:rsidR="00BA4647" w:rsidRDefault="00BA4647" w:rsidP="0058681D">
      <w:pPr>
        <w:spacing w:after="0" w:line="240" w:lineRule="auto"/>
        <w:ind w:left="-567" w:right="-799"/>
        <w:jc w:val="both"/>
        <w:rPr>
          <w:rFonts w:cs="Arial"/>
          <w:b/>
        </w:rPr>
      </w:pPr>
    </w:p>
    <w:p w:rsidR="00BA4647" w:rsidRDefault="00BA4647" w:rsidP="0058681D">
      <w:pPr>
        <w:spacing w:after="0" w:line="240" w:lineRule="auto"/>
        <w:ind w:left="-567" w:right="-799"/>
        <w:jc w:val="both"/>
        <w:rPr>
          <w:rFonts w:cs="Arial"/>
          <w:b/>
        </w:rPr>
      </w:pPr>
    </w:p>
    <w:p w:rsidR="0058681D" w:rsidRDefault="001A4B01" w:rsidP="0058681D">
      <w:pPr>
        <w:spacing w:after="0" w:line="240" w:lineRule="auto"/>
        <w:ind w:left="-567" w:right="-799"/>
        <w:jc w:val="both"/>
        <w:rPr>
          <w:rFonts w:cs="Arial"/>
        </w:rPr>
      </w:pPr>
      <w:r w:rsidRPr="001A4B01">
        <w:rPr>
          <w:rFonts w:cs="Arial"/>
          <w:b/>
        </w:rPr>
        <w:t>Artículo 2.1</w:t>
      </w:r>
      <w:r>
        <w:rPr>
          <w:rFonts w:cs="Arial"/>
          <w:b/>
        </w:rPr>
        <w:t>1</w:t>
      </w:r>
      <w:r w:rsidRPr="001A4B01">
        <w:rPr>
          <w:rFonts w:cs="Arial"/>
          <w:b/>
        </w:rPr>
        <w:t>.2.4.1</w:t>
      </w:r>
      <w:r>
        <w:rPr>
          <w:rFonts w:cs="Arial"/>
        </w:rPr>
        <w:t>. La autoridad de aplicación del sistema de incentivos a proyectos culturales y creativos es el Ministerio de Cultura.</w:t>
      </w:r>
    </w:p>
    <w:p w:rsidR="0058681D" w:rsidRDefault="0058681D" w:rsidP="0058681D">
      <w:pPr>
        <w:spacing w:after="0" w:line="240" w:lineRule="auto"/>
        <w:ind w:left="-567" w:right="-799"/>
        <w:jc w:val="both"/>
        <w:rPr>
          <w:rFonts w:cs="Arial"/>
        </w:rPr>
      </w:pPr>
    </w:p>
    <w:p w:rsidR="001A4B01" w:rsidRDefault="001A4B01" w:rsidP="0058681D">
      <w:pPr>
        <w:spacing w:after="0" w:line="240" w:lineRule="auto"/>
        <w:ind w:left="-567" w:right="-799"/>
        <w:jc w:val="both"/>
        <w:rPr>
          <w:rFonts w:cs="Arial"/>
        </w:rPr>
      </w:pPr>
      <w:r>
        <w:rPr>
          <w:rFonts w:cs="Arial"/>
        </w:rPr>
        <w:t>Esta entidad reglamentará aspectos específicos del mismo, dentro de los parámetros</w:t>
      </w:r>
      <w:r w:rsidR="0085148C">
        <w:rPr>
          <w:rFonts w:cs="Arial"/>
        </w:rPr>
        <w:t xml:space="preserve"> regulados </w:t>
      </w:r>
      <w:r>
        <w:rPr>
          <w:rFonts w:cs="Arial"/>
        </w:rPr>
        <w:t>en este Título, y hará las delegaciones internas que sean pertinentes de acuerdo con las competencias institucionales.</w:t>
      </w:r>
    </w:p>
    <w:p w:rsidR="001A4B01" w:rsidRDefault="001A4B01" w:rsidP="00656B07">
      <w:pPr>
        <w:spacing w:after="0" w:line="240" w:lineRule="auto"/>
        <w:ind w:left="-567" w:right="-799"/>
        <w:jc w:val="both"/>
        <w:rPr>
          <w:rFonts w:cs="Arial"/>
        </w:rPr>
      </w:pPr>
    </w:p>
    <w:p w:rsidR="0085148C" w:rsidRDefault="00410719" w:rsidP="00656B07">
      <w:pPr>
        <w:spacing w:after="0" w:line="240" w:lineRule="auto"/>
        <w:ind w:left="-567" w:right="-799"/>
        <w:jc w:val="both"/>
        <w:rPr>
          <w:rFonts w:cs="Arial"/>
        </w:rPr>
      </w:pPr>
      <w:r w:rsidRPr="0085148C">
        <w:rPr>
          <w:rFonts w:cs="Arial"/>
          <w:b/>
        </w:rPr>
        <w:t>Artículo 2.11.2.</w:t>
      </w:r>
      <w:r w:rsidR="001A4B01" w:rsidRPr="0085148C">
        <w:rPr>
          <w:rFonts w:cs="Arial"/>
          <w:b/>
        </w:rPr>
        <w:t>4</w:t>
      </w:r>
      <w:r w:rsidRPr="0085148C">
        <w:rPr>
          <w:rFonts w:cs="Arial"/>
          <w:b/>
        </w:rPr>
        <w:t>.2.</w:t>
      </w:r>
      <w:r w:rsidR="0085148C" w:rsidRPr="0085148C">
        <w:rPr>
          <w:rFonts w:cs="Arial"/>
          <w:b/>
        </w:rPr>
        <w:t xml:space="preserve"> Convenio de asociación</w:t>
      </w:r>
      <w:r w:rsidR="0085148C">
        <w:rPr>
          <w:rFonts w:cs="Arial"/>
        </w:rPr>
        <w:t xml:space="preserve">. </w:t>
      </w:r>
      <w:r>
        <w:rPr>
          <w:rFonts w:cs="Arial"/>
        </w:rPr>
        <w:t xml:space="preserve"> </w:t>
      </w:r>
      <w:r w:rsidR="0085148C">
        <w:rPr>
          <w:rFonts w:cs="Arial"/>
        </w:rPr>
        <w:t>Conforme al parágrafo primero del artículo 180º de la ley 1955 de 2019, el</w:t>
      </w:r>
      <w:r w:rsidR="0085148C" w:rsidRPr="0085148C">
        <w:rPr>
          <w:rFonts w:cs="Arial"/>
        </w:rPr>
        <w:t xml:space="preserve"> Ministerio de Cultura </w:t>
      </w:r>
      <w:r w:rsidR="00C7309C" w:rsidRPr="00C7309C">
        <w:rPr>
          <w:rFonts w:cs="Arial"/>
        </w:rPr>
        <w:t>podrá definir, de considerarlo necesario, que la convocatoria se realice por intermedio de una entidad sin ánimo de lucro adscrita a esa entidad, para lo cual celebrará de manera directa el respectivo convenio. Las inversiones o donaciones que se canalicen mediante el mecanismo previsto en este artículo deberán cubrir los costos que la convocatoria demande.</w:t>
      </w:r>
      <w:r w:rsidR="00C7309C">
        <w:rPr>
          <w:rFonts w:cs="Arial"/>
        </w:rPr>
        <w:t xml:space="preserve"> </w:t>
      </w:r>
    </w:p>
    <w:p w:rsidR="0085148C" w:rsidRDefault="0085148C" w:rsidP="00656B07">
      <w:pPr>
        <w:spacing w:after="0" w:line="240" w:lineRule="auto"/>
        <w:ind w:left="-567" w:right="-799"/>
        <w:jc w:val="both"/>
        <w:rPr>
          <w:rFonts w:cs="Arial"/>
        </w:rPr>
      </w:pPr>
    </w:p>
    <w:p w:rsidR="0085148C" w:rsidRDefault="0085148C" w:rsidP="00656B07">
      <w:pPr>
        <w:spacing w:after="0" w:line="240" w:lineRule="auto"/>
        <w:ind w:left="-567" w:right="-799"/>
        <w:jc w:val="both"/>
        <w:rPr>
          <w:rFonts w:cs="Arial"/>
        </w:rPr>
      </w:pPr>
      <w:r>
        <w:rPr>
          <w:rFonts w:cs="Arial"/>
        </w:rPr>
        <w:t xml:space="preserve">Si se acude a esta opción se vinculará a la entidad sin ánimo de lucro establecida en el inciso primero artículo </w:t>
      </w:r>
      <w:r w:rsidRPr="0085148C">
        <w:rPr>
          <w:rFonts w:cs="Arial"/>
        </w:rPr>
        <w:t>63º de la ley 397 de 1997</w:t>
      </w:r>
      <w:r>
        <w:rPr>
          <w:rFonts w:cs="Arial"/>
        </w:rPr>
        <w:t xml:space="preserve"> (Ley General de Cultura), </w:t>
      </w:r>
      <w:r w:rsidR="00C7309C">
        <w:rPr>
          <w:rFonts w:cs="Arial"/>
        </w:rPr>
        <w:t xml:space="preserve">constituida como corporación mixta, sin ánimo de Lucro, Colombia Crea Talento. </w:t>
      </w:r>
    </w:p>
    <w:p w:rsidR="0085148C" w:rsidRDefault="0085148C" w:rsidP="00656B07">
      <w:pPr>
        <w:spacing w:after="0" w:line="240" w:lineRule="auto"/>
        <w:ind w:left="-567" w:right="-799"/>
        <w:jc w:val="both"/>
        <w:rPr>
          <w:rFonts w:cs="Arial"/>
        </w:rPr>
      </w:pPr>
    </w:p>
    <w:p w:rsidR="00C25831" w:rsidRDefault="00C25831" w:rsidP="00656B07">
      <w:pPr>
        <w:spacing w:after="0" w:line="240" w:lineRule="auto"/>
        <w:ind w:left="-567" w:right="-799"/>
        <w:jc w:val="both"/>
        <w:rPr>
          <w:rFonts w:cs="Arial"/>
        </w:rPr>
      </w:pPr>
      <w:r w:rsidRPr="00E25DD9">
        <w:rPr>
          <w:rFonts w:cs="Arial"/>
          <w:b/>
        </w:rPr>
        <w:t>Parágrafo.</w:t>
      </w:r>
      <w:r>
        <w:rPr>
          <w:rFonts w:cs="Arial"/>
        </w:rPr>
        <w:t xml:space="preserve"> En el caso previsto</w:t>
      </w:r>
      <w:r w:rsidR="00E25DD9">
        <w:rPr>
          <w:rFonts w:cs="Arial"/>
        </w:rPr>
        <w:t xml:space="preserve"> </w:t>
      </w:r>
      <w:r>
        <w:rPr>
          <w:rFonts w:cs="Arial"/>
        </w:rPr>
        <w:t>en este artículo el respectivo convenio definirá como mínimo las obligaciones de la entidad respecto de la convocatoria</w:t>
      </w:r>
      <w:r w:rsidR="00E25DD9">
        <w:rPr>
          <w:rFonts w:cs="Arial"/>
        </w:rPr>
        <w:t xml:space="preserve"> de aplicación</w:t>
      </w:r>
      <w:r>
        <w:rPr>
          <w:rFonts w:cs="Arial"/>
        </w:rPr>
        <w:t>, seguimiento, certificaciones, informes</w:t>
      </w:r>
      <w:r w:rsidR="00E25DD9">
        <w:rPr>
          <w:rFonts w:cs="Arial"/>
        </w:rPr>
        <w:t>, archivo, información acumulada, estudios de impacto del modelo, entre otros.</w:t>
      </w:r>
    </w:p>
    <w:p w:rsidR="00E25DD9" w:rsidRDefault="00E25DD9" w:rsidP="00656B07">
      <w:pPr>
        <w:spacing w:after="0" w:line="240" w:lineRule="auto"/>
        <w:ind w:left="-567" w:right="-799"/>
        <w:jc w:val="both"/>
        <w:rPr>
          <w:rFonts w:cs="Arial"/>
        </w:rPr>
      </w:pPr>
    </w:p>
    <w:p w:rsidR="00BA4647" w:rsidRDefault="00E25DD9" w:rsidP="00BA4647">
      <w:pPr>
        <w:spacing w:after="0" w:line="240" w:lineRule="auto"/>
        <w:ind w:left="-567" w:right="-799"/>
        <w:jc w:val="both"/>
        <w:rPr>
          <w:rFonts w:cs="Arial"/>
        </w:rPr>
      </w:pPr>
      <w:r>
        <w:rPr>
          <w:rFonts w:cs="Arial"/>
        </w:rPr>
        <w:t>La emisión de los Certificados de Inversión o Donación a proyectos culturales y creativos por parte del Ministerio de Cultura, se basará en la certificación de cumplimiento que en este caso le suministre la entidad así vinculada.</w:t>
      </w:r>
    </w:p>
    <w:p w:rsidR="00BA4647" w:rsidRDefault="00BA4647" w:rsidP="00BA4647">
      <w:pPr>
        <w:spacing w:after="0" w:line="240" w:lineRule="auto"/>
        <w:ind w:left="-567" w:right="-799"/>
        <w:jc w:val="both"/>
        <w:rPr>
          <w:rFonts w:cs="Arial"/>
          <w:b/>
        </w:rPr>
      </w:pPr>
    </w:p>
    <w:p w:rsidR="002003B0" w:rsidRPr="003D5177" w:rsidRDefault="001D1C9E" w:rsidP="00BA4647">
      <w:pPr>
        <w:spacing w:after="0" w:line="240" w:lineRule="auto"/>
        <w:ind w:left="-567" w:right="-799"/>
        <w:jc w:val="both"/>
        <w:rPr>
          <w:rFonts w:cs="Arial"/>
        </w:rPr>
      </w:pPr>
      <w:r>
        <w:rPr>
          <w:rFonts w:cs="Arial"/>
          <w:b/>
        </w:rPr>
        <w:t xml:space="preserve">Artículo </w:t>
      </w:r>
      <w:r w:rsidR="00864A97">
        <w:rPr>
          <w:rFonts w:cs="Arial"/>
          <w:b/>
        </w:rPr>
        <w:t xml:space="preserve">2.11.2.4.3. </w:t>
      </w:r>
      <w:r w:rsidR="003E7920">
        <w:rPr>
          <w:rFonts w:cs="Arial"/>
          <w:b/>
        </w:rPr>
        <w:t xml:space="preserve">Incentivo al cine nacional. </w:t>
      </w:r>
      <w:r>
        <w:rPr>
          <w:rFonts w:cs="Arial"/>
        </w:rPr>
        <w:t xml:space="preserve">Las disposiciones del presente Título no son aplicables a los proyectos cinematográficos nacionales, los cuales se rigen con exclusividad por lo establecido en </w:t>
      </w:r>
      <w:r w:rsidR="00864A97">
        <w:rPr>
          <w:rFonts w:cs="Arial"/>
        </w:rPr>
        <w:t xml:space="preserve">la Parte X, Título II, Capítulo VI </w:t>
      </w:r>
      <w:r>
        <w:rPr>
          <w:rFonts w:cs="Arial"/>
        </w:rPr>
        <w:t>de este decreto.</w:t>
      </w:r>
    </w:p>
    <w:p w:rsidR="00BA4647" w:rsidRDefault="00BA4647" w:rsidP="002003B0">
      <w:pPr>
        <w:ind w:left="-567" w:right="-799"/>
        <w:jc w:val="both"/>
        <w:rPr>
          <w:rFonts w:cs="Arial"/>
          <w:b/>
        </w:rPr>
      </w:pPr>
    </w:p>
    <w:p w:rsidR="00410E61" w:rsidRPr="002003B0" w:rsidRDefault="00CF66F3" w:rsidP="002003B0">
      <w:pPr>
        <w:ind w:left="-567" w:right="-799"/>
        <w:jc w:val="both"/>
        <w:rPr>
          <w:rFonts w:cs="Arial"/>
        </w:rPr>
      </w:pPr>
      <w:r w:rsidRPr="0091704D">
        <w:rPr>
          <w:rFonts w:cs="Arial"/>
          <w:b/>
        </w:rPr>
        <w:t>A</w:t>
      </w:r>
      <w:r w:rsidR="001F3772" w:rsidRPr="0091704D">
        <w:rPr>
          <w:rFonts w:cs="Arial"/>
          <w:b/>
        </w:rPr>
        <w:t xml:space="preserve">rtículo </w:t>
      </w:r>
      <w:r w:rsidR="00496CF6">
        <w:rPr>
          <w:rFonts w:cs="Arial"/>
          <w:b/>
        </w:rPr>
        <w:t>2</w:t>
      </w:r>
      <w:r w:rsidR="002003B0">
        <w:rPr>
          <w:rFonts w:cs="Arial"/>
          <w:b/>
        </w:rPr>
        <w:t xml:space="preserve">º. </w:t>
      </w:r>
      <w:r w:rsidRPr="0091704D">
        <w:rPr>
          <w:rFonts w:cs="Arial"/>
          <w:b/>
        </w:rPr>
        <w:t>Vigencia</w:t>
      </w:r>
      <w:r w:rsidR="00D512E7" w:rsidRPr="0091704D">
        <w:rPr>
          <w:rFonts w:cs="Arial"/>
          <w:b/>
        </w:rPr>
        <w:t xml:space="preserve"> y derogatorias</w:t>
      </w:r>
      <w:r w:rsidRPr="0091704D">
        <w:rPr>
          <w:rFonts w:cs="Arial"/>
        </w:rPr>
        <w:t>. El presente decreto rige a partir de la fecha de su publicación en el Diario Oficial</w:t>
      </w:r>
      <w:r w:rsidR="002003B0">
        <w:rPr>
          <w:rFonts w:cs="Arial"/>
        </w:rPr>
        <w:t>.</w:t>
      </w:r>
    </w:p>
    <w:p w:rsidR="002003B0" w:rsidRDefault="00CF66F3" w:rsidP="002003B0">
      <w:pPr>
        <w:ind w:left="-567" w:right="-799"/>
        <w:jc w:val="both"/>
        <w:rPr>
          <w:rFonts w:cs="Arial"/>
        </w:rPr>
      </w:pPr>
      <w:r w:rsidRPr="0091704D">
        <w:rPr>
          <w:rFonts w:eastAsia="Times New Roman" w:cs="Arial"/>
          <w:b/>
          <w:lang w:eastAsia="es-ES"/>
        </w:rPr>
        <w:t>PUBLÍQUESE Y CÚMPLASE</w:t>
      </w:r>
      <w:r w:rsidRPr="0091704D">
        <w:rPr>
          <w:rFonts w:eastAsia="Times New Roman" w:cs="Arial"/>
          <w:lang w:eastAsia="es-ES"/>
        </w:rPr>
        <w:t>.</w:t>
      </w:r>
    </w:p>
    <w:p w:rsidR="00265EFA" w:rsidRDefault="00CF66F3" w:rsidP="00265EFA">
      <w:pPr>
        <w:ind w:left="-567" w:right="-799"/>
        <w:jc w:val="both"/>
        <w:rPr>
          <w:rFonts w:cs="Arial"/>
        </w:rPr>
      </w:pPr>
      <w:r w:rsidRPr="0091704D">
        <w:rPr>
          <w:rFonts w:eastAsia="Times New Roman" w:cs="Arial"/>
          <w:lang w:eastAsia="es-ES"/>
        </w:rPr>
        <w:t xml:space="preserve">Dado en Bogotá D.C., a los </w:t>
      </w:r>
    </w:p>
    <w:p w:rsidR="00265EFA" w:rsidRDefault="00265EFA" w:rsidP="00265EFA">
      <w:pPr>
        <w:ind w:left="-567" w:right="-799"/>
        <w:jc w:val="both"/>
        <w:rPr>
          <w:rFonts w:cs="Arial"/>
        </w:rPr>
      </w:pPr>
    </w:p>
    <w:p w:rsidR="00265EFA" w:rsidRDefault="00265EFA" w:rsidP="00F627E2">
      <w:pPr>
        <w:ind w:right="-799"/>
        <w:jc w:val="both"/>
        <w:rPr>
          <w:rFonts w:cs="Arial"/>
        </w:rPr>
      </w:pPr>
    </w:p>
    <w:p w:rsidR="00F627E2" w:rsidRDefault="00F627E2" w:rsidP="00265EFA">
      <w:pPr>
        <w:ind w:left="-567" w:right="-799"/>
        <w:jc w:val="both"/>
        <w:rPr>
          <w:rFonts w:cs="Arial"/>
          <w:b/>
        </w:rPr>
      </w:pPr>
    </w:p>
    <w:p w:rsidR="00F627E2" w:rsidRPr="00F627E2" w:rsidRDefault="00F627E2" w:rsidP="00265EFA">
      <w:pPr>
        <w:ind w:left="-567" w:right="-799"/>
        <w:jc w:val="both"/>
        <w:rPr>
          <w:rFonts w:cs="Arial"/>
          <w:b/>
        </w:rPr>
      </w:pPr>
      <w:r w:rsidRPr="00F627E2">
        <w:rPr>
          <w:rFonts w:cs="Arial"/>
          <w:b/>
        </w:rPr>
        <w:t>EL MINISTRO DE HACIENDA Y CRÉDITO PÚBLICO</w:t>
      </w:r>
    </w:p>
    <w:p w:rsidR="002003B0" w:rsidRDefault="002003B0" w:rsidP="00CF66F3">
      <w:pPr>
        <w:ind w:left="-567" w:right="-374"/>
        <w:jc w:val="both"/>
        <w:rPr>
          <w:rFonts w:cs="Arial"/>
          <w:b/>
        </w:rPr>
      </w:pPr>
    </w:p>
    <w:p w:rsidR="002003B0" w:rsidRDefault="00F627E2" w:rsidP="00CF66F3">
      <w:pPr>
        <w:ind w:left="-567" w:right="-374"/>
        <w:jc w:val="both"/>
        <w:rPr>
          <w:rFonts w:cs="Arial"/>
          <w:b/>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ALBERTO CARRASQUILLA BARRERA</w:t>
      </w:r>
    </w:p>
    <w:p w:rsidR="002003B0" w:rsidRDefault="002003B0" w:rsidP="00CF66F3">
      <w:pPr>
        <w:ind w:left="-567" w:right="-374"/>
        <w:jc w:val="both"/>
        <w:rPr>
          <w:rFonts w:cs="Arial"/>
          <w:b/>
        </w:rPr>
      </w:pPr>
    </w:p>
    <w:p w:rsidR="00F627E2" w:rsidRDefault="00F627E2" w:rsidP="00CF66F3">
      <w:pPr>
        <w:ind w:left="-567" w:right="-374"/>
        <w:jc w:val="both"/>
        <w:rPr>
          <w:rFonts w:cs="Arial"/>
          <w:b/>
        </w:rPr>
      </w:pPr>
    </w:p>
    <w:p w:rsidR="00CF66F3" w:rsidRPr="0091704D" w:rsidRDefault="00CF66F3" w:rsidP="00CF66F3">
      <w:pPr>
        <w:ind w:left="-567" w:right="-374"/>
        <w:jc w:val="both"/>
        <w:rPr>
          <w:rFonts w:eastAsia="Times New Roman" w:cs="Arial"/>
          <w:lang w:eastAsia="es-ES"/>
        </w:rPr>
      </w:pPr>
      <w:r w:rsidRPr="0091704D">
        <w:rPr>
          <w:rFonts w:cs="Arial"/>
          <w:b/>
        </w:rPr>
        <w:t xml:space="preserve">LA MINISTRA DE CULTURA </w:t>
      </w:r>
    </w:p>
    <w:p w:rsidR="00CF66F3" w:rsidRPr="0091704D" w:rsidRDefault="00CF66F3" w:rsidP="00CF66F3">
      <w:pPr>
        <w:ind w:left="-567"/>
        <w:rPr>
          <w:rFonts w:cs="Arial"/>
          <w:b/>
        </w:rPr>
      </w:pPr>
    </w:p>
    <w:p w:rsidR="00CF66F3" w:rsidRPr="0091704D" w:rsidRDefault="00CF66F3" w:rsidP="00CF66F3">
      <w:pPr>
        <w:ind w:left="-567"/>
        <w:rPr>
          <w:rFonts w:cs="Arial"/>
          <w:b/>
        </w:rPr>
      </w:pPr>
    </w:p>
    <w:p w:rsidR="00CF66F3" w:rsidRPr="0091704D" w:rsidRDefault="00CF66F3" w:rsidP="00CF66F3">
      <w:pPr>
        <w:ind w:left="-567"/>
        <w:rPr>
          <w:rFonts w:cs="Arial"/>
          <w:b/>
        </w:rPr>
      </w:pPr>
      <w:r w:rsidRPr="0091704D">
        <w:rPr>
          <w:rFonts w:cs="Arial"/>
          <w:b/>
        </w:rPr>
        <w:tab/>
      </w:r>
      <w:r w:rsidRPr="0091704D">
        <w:rPr>
          <w:rFonts w:cs="Arial"/>
          <w:b/>
        </w:rPr>
        <w:tab/>
      </w:r>
      <w:r w:rsidRPr="0091704D">
        <w:rPr>
          <w:rFonts w:cs="Arial"/>
          <w:b/>
        </w:rPr>
        <w:tab/>
      </w:r>
      <w:r w:rsidRPr="0091704D">
        <w:rPr>
          <w:rFonts w:cs="Arial"/>
          <w:b/>
        </w:rPr>
        <w:tab/>
      </w:r>
      <w:r w:rsidRPr="0091704D">
        <w:rPr>
          <w:rFonts w:cs="Arial"/>
          <w:b/>
        </w:rPr>
        <w:tab/>
      </w:r>
      <w:r w:rsidRPr="0091704D">
        <w:rPr>
          <w:rFonts w:cs="Arial"/>
          <w:b/>
        </w:rPr>
        <w:tab/>
      </w:r>
      <w:r w:rsidRPr="0091704D">
        <w:rPr>
          <w:rFonts w:cs="Arial"/>
          <w:b/>
        </w:rPr>
        <w:tab/>
        <w:t>CARMÉN INÉS V</w:t>
      </w:r>
      <w:r w:rsidR="00213E36">
        <w:rPr>
          <w:rFonts w:cs="Arial"/>
          <w:b/>
        </w:rPr>
        <w:t>Á</w:t>
      </w:r>
      <w:r w:rsidRPr="0091704D">
        <w:rPr>
          <w:rFonts w:cs="Arial"/>
          <w:b/>
        </w:rPr>
        <w:t xml:space="preserve">SQUEZ CAMACHO </w:t>
      </w:r>
    </w:p>
    <w:bookmarkEnd w:id="0"/>
    <w:p w:rsidR="001A0A96" w:rsidRDefault="001A0A96" w:rsidP="001A0A96"/>
    <w:p w:rsidR="001A0A96" w:rsidRDefault="001A0A96" w:rsidP="001A0A96"/>
    <w:p w:rsidR="007C2FC4" w:rsidRPr="0091704D" w:rsidRDefault="007C2FC4"/>
    <w:sectPr w:rsidR="007C2FC4" w:rsidRPr="0091704D" w:rsidSect="006764C6">
      <w:headerReference w:type="default" r:id="rId8"/>
      <w:headerReference w:type="first" r:id="rId9"/>
      <w:pgSz w:w="12242" w:h="18722" w:code="120"/>
      <w:pgMar w:top="1037" w:right="1701" w:bottom="1135" w:left="1701" w:header="170"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70B" w:rsidRDefault="0010470B" w:rsidP="002B7796">
      <w:pPr>
        <w:spacing w:after="0" w:line="240" w:lineRule="auto"/>
      </w:pPr>
      <w:r>
        <w:separator/>
      </w:r>
    </w:p>
  </w:endnote>
  <w:endnote w:type="continuationSeparator" w:id="0">
    <w:p w:rsidR="0010470B" w:rsidRDefault="0010470B" w:rsidP="002B7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70B" w:rsidRDefault="0010470B" w:rsidP="002B7796">
      <w:pPr>
        <w:spacing w:after="0" w:line="240" w:lineRule="auto"/>
      </w:pPr>
      <w:r>
        <w:separator/>
      </w:r>
    </w:p>
  </w:footnote>
  <w:footnote w:type="continuationSeparator" w:id="0">
    <w:p w:rsidR="0010470B" w:rsidRDefault="0010470B" w:rsidP="002B77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248752"/>
      <w:docPartObj>
        <w:docPartGallery w:val="Page Numbers (Top of Page)"/>
        <w:docPartUnique/>
      </w:docPartObj>
    </w:sdtPr>
    <w:sdtEndPr/>
    <w:sdtContent>
      <w:p w:rsidR="002B36A7" w:rsidRPr="007C2FC4" w:rsidRDefault="005033DC" w:rsidP="007C2FC4">
        <w:pPr>
          <w:pStyle w:val="Encabezado"/>
          <w:jc w:val="both"/>
          <w:rPr>
            <w:rFonts w:ascii="Arial" w:eastAsia="Times New Roman" w:hAnsi="Arial" w:cs="Arial"/>
            <w:b/>
            <w:sz w:val="20"/>
            <w:szCs w:val="24"/>
            <w:lang w:eastAsia="es-ES"/>
          </w:rPr>
        </w:pPr>
        <w:r>
          <w:rPr>
            <w:noProof/>
            <w:sz w:val="18"/>
            <w:lang w:val="es-CO" w:eastAsia="es-CO"/>
          </w:rPr>
          <mc:AlternateContent>
            <mc:Choice Requires="wps">
              <w:drawing>
                <wp:anchor distT="0" distB="0" distL="114300" distR="114300" simplePos="0" relativeHeight="251663360" behindDoc="1" locked="0" layoutInCell="1" allowOverlap="1" wp14:anchorId="42BD8E37" wp14:editId="7D05BE3A">
                  <wp:simplePos x="0" y="0"/>
                  <wp:positionH relativeFrom="margin">
                    <wp:posOffset>-518160</wp:posOffset>
                  </wp:positionH>
                  <wp:positionV relativeFrom="page">
                    <wp:posOffset>248285</wp:posOffset>
                  </wp:positionV>
                  <wp:extent cx="6792595" cy="10973435"/>
                  <wp:effectExtent l="0" t="0" r="27305" b="1841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2595" cy="1097343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B36A7" w:rsidRDefault="002B36A7" w:rsidP="007C2FC4">
                              <w:pPr>
                                <w:pStyle w:val="Encabezado"/>
                                <w:jc w:val="both"/>
                                <w:rPr>
                                  <w:rFonts w:ascii="Arial" w:eastAsia="Times New Roman" w:hAnsi="Arial" w:cs="Arial"/>
                                  <w:sz w:val="20"/>
                                  <w:szCs w:val="24"/>
                                  <w:lang w:eastAsia="es-ES"/>
                                </w:rPr>
                              </w:pPr>
                              <w:r>
                                <w:rPr>
                                  <w:rFonts w:ascii="Arial" w:eastAsia="Times New Roman" w:hAnsi="Arial" w:cs="Arial"/>
                                  <w:b/>
                                  <w:sz w:val="20"/>
                                  <w:szCs w:val="24"/>
                                  <w:lang w:eastAsia="es-ES"/>
                                </w:rPr>
                                <w:ptab w:relativeTo="margin" w:alignment="center" w:leader="none"/>
                              </w:r>
                              <w:r>
                                <w:rPr>
                                  <w:rFonts w:ascii="Arial" w:eastAsia="Times New Roman" w:hAnsi="Arial" w:cs="Arial"/>
                                  <w:b/>
                                  <w:sz w:val="20"/>
                                  <w:szCs w:val="24"/>
                                  <w:lang w:eastAsia="es-ES"/>
                                </w:rPr>
                                <w:t>Continuación</w:t>
                              </w:r>
                              <w:r w:rsidRPr="00DD6C0B">
                                <w:rPr>
                                  <w:rFonts w:ascii="Arial" w:eastAsia="Times New Roman" w:hAnsi="Arial" w:cs="Arial"/>
                                  <w:b/>
                                  <w:sz w:val="20"/>
                                  <w:szCs w:val="24"/>
                                  <w:lang w:eastAsia="es-ES"/>
                                </w:rPr>
                                <w:t xml:space="preserve"> del Decreto</w:t>
                              </w:r>
                              <w:r w:rsidRPr="00075844">
                                <w:rPr>
                                  <w:rFonts w:ascii="Arial" w:eastAsia="Times New Roman" w:hAnsi="Arial" w:cs="Arial"/>
                                  <w:sz w:val="20"/>
                                  <w:szCs w:val="24"/>
                                  <w:lang w:eastAsia="es-ES"/>
                                </w:rPr>
                                <w:t>:</w:t>
                              </w:r>
                              <w:r w:rsidR="005033DC" w:rsidRPr="005033DC">
                                <w:t xml:space="preserve"> </w:t>
                              </w:r>
                              <w:r w:rsidR="005033DC" w:rsidRPr="005033DC">
                                <w:rPr>
                                  <w:rFonts w:ascii="Arial" w:eastAsia="Times New Roman" w:hAnsi="Arial" w:cs="Arial"/>
                                  <w:sz w:val="20"/>
                                  <w:szCs w:val="24"/>
                                  <w:lang w:eastAsia="es-ES"/>
                                </w:rPr>
                                <w:t>“Por el cual se modifica y adiciona el Decreto 1080 de 2015, Decreto Único Reglamentario del Sector Cultura, y se reglamentan los artículos 179º y 180º de la ley 1955 de 2019, Ley del Plan Nacional de Desarrollo 2018 – 2022, Pacto por Colombia, Pacto por la Equidad”</w:t>
                              </w:r>
                            </w:p>
                            <w:p w:rsidR="00AB1196" w:rsidRDefault="00AB1196" w:rsidP="007C2FC4">
                              <w:pPr>
                                <w:pStyle w:val="Encabezado"/>
                                <w:jc w:val="both"/>
                                <w:rPr>
                                  <w:rFonts w:ascii="Arial" w:eastAsia="Times New Roman" w:hAnsi="Arial" w:cs="Arial"/>
                                  <w:i/>
                                  <w:sz w:val="20"/>
                                  <w:szCs w:val="20"/>
                                  <w:lang w:eastAsia="es-ES"/>
                                </w:rPr>
                              </w:pPr>
                            </w:p>
                            <w:p w:rsidR="00AB1196" w:rsidRPr="004D10A0" w:rsidRDefault="00AB1196" w:rsidP="007C2FC4">
                              <w:pPr>
                                <w:pStyle w:val="Encabezado"/>
                                <w:jc w:val="both"/>
                                <w:rPr>
                                  <w:rFonts w:ascii="Arial" w:eastAsia="Times New Roman" w:hAnsi="Arial" w:cs="Arial"/>
                                  <w:i/>
                                  <w:sz w:val="20"/>
                                  <w:szCs w:val="20"/>
                                  <w:lang w:eastAsia="es-ES"/>
                                </w:rPr>
                              </w:pPr>
                            </w:p>
                            <w:p w:rsidR="002B36A7" w:rsidRPr="00AF3005" w:rsidRDefault="002B36A7" w:rsidP="007C2FC4">
                              <w:pPr>
                                <w:pStyle w:val="Encabezado"/>
                                <w:jc w:val="both"/>
                              </w:pPr>
                            </w:p>
                            <w:p w:rsidR="002B36A7" w:rsidRDefault="002B36A7" w:rsidP="007C2FC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BD8E37" id="Rectángulo 1" o:spid="_x0000_s1026" style="position:absolute;left:0;text-align:left;margin-left:-40.8pt;margin-top:19.55pt;width:534.85pt;height:864.0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" filled="f" strokeweight="2pt">
                  <v:textbox>
                    <w:txbxContent>
                      <w:p w:rsidR="002B36A7" w:rsidRDefault="002B36A7" w:rsidP="007C2FC4">
                        <w:pPr>
                          <w:pStyle w:val="Encabezado"/>
                          <w:jc w:val="both"/>
                          <w:rPr>
                            <w:rFonts w:ascii="Arial" w:eastAsia="Times New Roman" w:hAnsi="Arial" w:cs="Arial"/>
                            <w:sz w:val="20"/>
                            <w:szCs w:val="24"/>
                            <w:lang w:eastAsia="es-ES"/>
                          </w:rPr>
                        </w:pPr>
                        <w:r>
                          <w:rPr>
                            <w:rFonts w:ascii="Arial" w:eastAsia="Times New Roman" w:hAnsi="Arial" w:cs="Arial"/>
                            <w:b/>
                            <w:sz w:val="20"/>
                            <w:szCs w:val="24"/>
                            <w:lang w:eastAsia="es-ES"/>
                          </w:rPr>
                          <w:ptab w:relativeTo="margin" w:alignment="center" w:leader="none"/>
                        </w:r>
                        <w:r>
                          <w:rPr>
                            <w:rFonts w:ascii="Arial" w:eastAsia="Times New Roman" w:hAnsi="Arial" w:cs="Arial"/>
                            <w:b/>
                            <w:sz w:val="20"/>
                            <w:szCs w:val="24"/>
                            <w:lang w:eastAsia="es-ES"/>
                          </w:rPr>
                          <w:t>Continuación</w:t>
                        </w:r>
                        <w:r w:rsidRPr="00DD6C0B">
                          <w:rPr>
                            <w:rFonts w:ascii="Arial" w:eastAsia="Times New Roman" w:hAnsi="Arial" w:cs="Arial"/>
                            <w:b/>
                            <w:sz w:val="20"/>
                            <w:szCs w:val="24"/>
                            <w:lang w:eastAsia="es-ES"/>
                          </w:rPr>
                          <w:t xml:space="preserve"> del Decreto</w:t>
                        </w:r>
                        <w:r w:rsidRPr="00075844">
                          <w:rPr>
                            <w:rFonts w:ascii="Arial" w:eastAsia="Times New Roman" w:hAnsi="Arial" w:cs="Arial"/>
                            <w:sz w:val="20"/>
                            <w:szCs w:val="24"/>
                            <w:lang w:eastAsia="es-ES"/>
                          </w:rPr>
                          <w:t>:</w:t>
                        </w:r>
                        <w:r w:rsidR="005033DC" w:rsidRPr="005033DC">
                          <w:t xml:space="preserve"> </w:t>
                        </w:r>
                        <w:r w:rsidR="005033DC" w:rsidRPr="005033DC">
                          <w:rPr>
                            <w:rFonts w:ascii="Arial" w:eastAsia="Times New Roman" w:hAnsi="Arial" w:cs="Arial"/>
                            <w:sz w:val="20"/>
                            <w:szCs w:val="24"/>
                            <w:lang w:eastAsia="es-ES"/>
                          </w:rPr>
                          <w:t>“Por el cual se modifica y adiciona el Decreto 1080 de 2015, Decreto Único Reglamentario del Sector Cultura, y se reglamentan los artículos 179º y 180º de la ley 1955 de 2019, Ley del Plan Nacional de Desarrollo 2018 – 2022, Pacto por Colombia, Pacto por la Equidad”</w:t>
                        </w:r>
                      </w:p>
                      <w:p w:rsidR="00AB1196" w:rsidRDefault="00AB1196" w:rsidP="007C2FC4">
                        <w:pPr>
                          <w:pStyle w:val="Encabezado"/>
                          <w:jc w:val="both"/>
                          <w:rPr>
                            <w:rFonts w:ascii="Arial" w:eastAsia="Times New Roman" w:hAnsi="Arial" w:cs="Arial"/>
                            <w:i/>
                            <w:sz w:val="20"/>
                            <w:szCs w:val="20"/>
                            <w:lang w:eastAsia="es-ES"/>
                          </w:rPr>
                        </w:pPr>
                      </w:p>
                      <w:p w:rsidR="00AB1196" w:rsidRPr="004D10A0" w:rsidRDefault="00AB1196" w:rsidP="007C2FC4">
                        <w:pPr>
                          <w:pStyle w:val="Encabezado"/>
                          <w:jc w:val="both"/>
                          <w:rPr>
                            <w:rFonts w:ascii="Arial" w:eastAsia="Times New Roman" w:hAnsi="Arial" w:cs="Arial"/>
                            <w:i/>
                            <w:sz w:val="20"/>
                            <w:szCs w:val="20"/>
                            <w:lang w:eastAsia="es-ES"/>
                          </w:rPr>
                        </w:pPr>
                      </w:p>
                      <w:p w:rsidR="002B36A7" w:rsidRPr="00AF3005" w:rsidRDefault="002B36A7" w:rsidP="007C2FC4">
                        <w:pPr>
                          <w:pStyle w:val="Encabezado"/>
                          <w:jc w:val="both"/>
                        </w:pPr>
                      </w:p>
                      <w:p w:rsidR="002B36A7" w:rsidRDefault="002B36A7" w:rsidP="007C2FC4">
                        <w:pPr>
                          <w:jc w:val="center"/>
                        </w:pPr>
                      </w:p>
                    </w:txbxContent>
                  </v:textbox>
                  <w10:wrap anchorx="margin" anchory="page"/>
                </v:rect>
              </w:pict>
            </mc:Fallback>
          </mc:AlternateContent>
        </w:r>
        <w:r w:rsidR="002B36A7">
          <w:rPr>
            <w:rFonts w:ascii="Arial" w:eastAsia="Times New Roman" w:hAnsi="Arial" w:cs="Arial"/>
            <w:b/>
            <w:sz w:val="20"/>
            <w:szCs w:val="24"/>
            <w:lang w:eastAsia="es-ES"/>
          </w:rPr>
          <w:t xml:space="preserve">DECRETO                       DE 2019                                                                  </w:t>
        </w:r>
        <w:r w:rsidR="002B36A7" w:rsidRPr="006764C6">
          <w:rPr>
            <w:rFonts w:ascii="Arial" w:eastAsia="Times New Roman" w:hAnsi="Arial" w:cs="Arial"/>
            <w:b/>
            <w:sz w:val="20"/>
            <w:szCs w:val="20"/>
            <w:lang w:eastAsia="es-ES"/>
          </w:rPr>
          <w:t xml:space="preserve">HOJA No. </w:t>
        </w:r>
        <w:r w:rsidR="002B36A7" w:rsidRPr="006764C6">
          <w:rPr>
            <w:rFonts w:ascii="Arial" w:hAnsi="Arial" w:cs="Arial"/>
            <w:b/>
            <w:sz w:val="20"/>
            <w:szCs w:val="20"/>
          </w:rPr>
          <w:fldChar w:fldCharType="begin"/>
        </w:r>
        <w:r w:rsidR="002B36A7" w:rsidRPr="006764C6">
          <w:rPr>
            <w:rFonts w:ascii="Arial" w:hAnsi="Arial" w:cs="Arial"/>
            <w:b/>
            <w:sz w:val="20"/>
            <w:szCs w:val="20"/>
          </w:rPr>
          <w:instrText>PAGE   \* MERGEFORMAT</w:instrText>
        </w:r>
        <w:r w:rsidR="002B36A7" w:rsidRPr="006764C6">
          <w:rPr>
            <w:rFonts w:ascii="Arial" w:hAnsi="Arial" w:cs="Arial"/>
            <w:b/>
            <w:sz w:val="20"/>
            <w:szCs w:val="20"/>
          </w:rPr>
          <w:fldChar w:fldCharType="separate"/>
        </w:r>
        <w:r w:rsidR="000034C2">
          <w:rPr>
            <w:rFonts w:ascii="Arial" w:hAnsi="Arial" w:cs="Arial"/>
            <w:b/>
            <w:noProof/>
            <w:sz w:val="20"/>
            <w:szCs w:val="20"/>
          </w:rPr>
          <w:t>8</w:t>
        </w:r>
        <w:r w:rsidR="002B36A7" w:rsidRPr="006764C6">
          <w:rPr>
            <w:rFonts w:ascii="Arial" w:hAnsi="Arial" w:cs="Arial"/>
            <w:b/>
            <w:sz w:val="20"/>
            <w:szCs w:val="20"/>
          </w:rPr>
          <w:fldChar w:fldCharType="end"/>
        </w:r>
      </w:p>
    </w:sdtContent>
  </w:sdt>
  <w:p w:rsidR="002B36A7" w:rsidRPr="00AF3005" w:rsidRDefault="002B36A7" w:rsidP="007C2FC4">
    <w:pPr>
      <w:pStyle w:val="Encabezado"/>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6A7" w:rsidRPr="00AF3005" w:rsidRDefault="0010470B" w:rsidP="007C2FC4">
    <w:pPr>
      <w:rPr>
        <w:rFonts w:ascii="Arial" w:hAnsi="Arial" w:cs="Arial"/>
        <w:sz w:val="24"/>
        <w:szCs w:val="24"/>
      </w:rPr>
    </w:pPr>
    <w:r>
      <w:rPr>
        <w:rFonts w:ascii="Arial" w:hAnsi="Arial" w:cs="Arial"/>
        <w:noProof/>
        <w:sz w:val="24"/>
        <w:szCs w:val="24"/>
        <w:lang w:val="es-ES_tradnl" w:eastAsia="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178.9pt;margin-top:-10.65pt;width:104.3pt;height:57.05pt;z-index:251658240;visibility:visible;mso-wrap-edited:f;mso-width-percent:0;mso-height-percent:0;mso-position-horizontal-relative:text;mso-position-vertical-relative:text;mso-width-percent:0;mso-height-percent:0" o:allowoverlap="f">
          <v:imagedata r:id="rId1" o:title=""/>
          <w10:wrap type="square"/>
        </v:shape>
        <o:OLEObject Type="Embed" ProgID="Word.Picture.8" ShapeID="_x0000_s2049" DrawAspect="Content" ObjectID="_1634730125" r:id="rId2"/>
      </w:object>
    </w:r>
  </w:p>
  <w:p w:rsidR="002B36A7" w:rsidRPr="00AF3005" w:rsidRDefault="002B36A7" w:rsidP="007C2FC4">
    <w:pPr>
      <w:pStyle w:val="Encabezado"/>
      <w:tabs>
        <w:tab w:val="left" w:pos="9000"/>
        <w:tab w:val="right" w:leader="underscore" w:pos="10530"/>
      </w:tabs>
      <w:rPr>
        <w:rFonts w:ascii="Arial" w:hAnsi="Arial" w:cs="Arial"/>
        <w:sz w:val="24"/>
        <w:szCs w:val="24"/>
      </w:rPr>
    </w:pPr>
  </w:p>
  <w:p w:rsidR="002B36A7" w:rsidRPr="00AF3005" w:rsidRDefault="002B36A7" w:rsidP="007C2FC4">
    <w:pPr>
      <w:pStyle w:val="Encabezado"/>
      <w:jc w:val="right"/>
      <w:rPr>
        <w:rFonts w:ascii="Arial" w:hAnsi="Arial" w:cs="Arial"/>
        <w:b/>
        <w:sz w:val="24"/>
        <w:szCs w:val="24"/>
      </w:rPr>
    </w:pPr>
    <w:r>
      <w:rPr>
        <w:noProof/>
        <w:lang w:val="es-CO" w:eastAsia="es-CO"/>
      </w:rPr>
      <mc:AlternateContent>
        <mc:Choice Requires="wps">
          <w:drawing>
            <wp:anchor distT="0" distB="0" distL="114300" distR="114300" simplePos="0" relativeHeight="251661312" behindDoc="1" locked="0" layoutInCell="1" allowOverlap="1" wp14:anchorId="4B303AD2" wp14:editId="144D555F">
              <wp:simplePos x="0" y="0"/>
              <wp:positionH relativeFrom="page">
                <wp:posOffset>561975</wp:posOffset>
              </wp:positionH>
              <wp:positionV relativeFrom="page">
                <wp:posOffset>751205</wp:posOffset>
              </wp:positionV>
              <wp:extent cx="6830695" cy="10716260"/>
              <wp:effectExtent l="0" t="0" r="27305" b="2794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71626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E1A9CF" id="Rectángulo 2" o:spid="_x0000_s1026" style="position:absolute;margin-left:44.25pt;margin-top:59.15pt;width:537.85pt;height:843.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" filled="f" strokeweight="2pt">
              <w10:wrap anchorx="page" anchory="page"/>
            </v:rect>
          </w:pict>
        </mc:Fallback>
      </mc:AlternateContent>
    </w:r>
  </w:p>
  <w:p w:rsidR="002B36A7" w:rsidRPr="00AF3005" w:rsidRDefault="002B36A7" w:rsidP="007C2FC4">
    <w:pPr>
      <w:pStyle w:val="Encabezado"/>
      <w:rPr>
        <w:rFonts w:ascii="Arial" w:hAnsi="Arial" w:cs="Arial"/>
        <w:b/>
        <w:sz w:val="24"/>
        <w:szCs w:val="24"/>
      </w:rPr>
    </w:pPr>
  </w:p>
  <w:p w:rsidR="002B36A7" w:rsidRPr="00AF3005" w:rsidRDefault="002B36A7" w:rsidP="007C2FC4">
    <w:pPr>
      <w:pStyle w:val="Encabezado"/>
      <w:jc w:val="center"/>
      <w:rPr>
        <w:rFonts w:ascii="Arial" w:hAnsi="Arial" w:cs="Arial"/>
        <w:b/>
        <w:sz w:val="24"/>
        <w:szCs w:val="24"/>
      </w:rPr>
    </w:pPr>
    <w:r w:rsidRPr="00AF3005">
      <w:rPr>
        <w:rFonts w:ascii="Arial" w:hAnsi="Arial" w:cs="Arial"/>
        <w:b/>
        <w:sz w:val="24"/>
        <w:szCs w:val="24"/>
      </w:rPr>
      <w:t xml:space="preserve">MINISTERIO DE CULTURA </w:t>
    </w:r>
  </w:p>
  <w:p w:rsidR="002B36A7" w:rsidRDefault="002B36A7" w:rsidP="007C2FC4">
    <w:pPr>
      <w:pStyle w:val="Encabezado"/>
      <w:jc w:val="center"/>
      <w:rPr>
        <w:rFonts w:ascii="Arial" w:hAnsi="Arial" w:cs="Arial"/>
        <w:b/>
        <w:sz w:val="24"/>
        <w:szCs w:val="24"/>
      </w:rPr>
    </w:pPr>
  </w:p>
  <w:p w:rsidR="002B36A7" w:rsidRPr="00AF3005" w:rsidRDefault="002B36A7" w:rsidP="007C2FC4">
    <w:pPr>
      <w:pStyle w:val="Encabezado"/>
      <w:jc w:val="center"/>
      <w:rPr>
        <w:rFonts w:ascii="Arial" w:hAnsi="Arial" w:cs="Arial"/>
        <w:b/>
        <w:sz w:val="24"/>
        <w:szCs w:val="24"/>
      </w:rPr>
    </w:pPr>
  </w:p>
  <w:p w:rsidR="002B36A7" w:rsidRPr="00AF3005" w:rsidRDefault="002B36A7" w:rsidP="007C2FC4">
    <w:pPr>
      <w:pStyle w:val="Encabezado"/>
      <w:jc w:val="center"/>
      <w:rPr>
        <w:rFonts w:ascii="Arial" w:hAnsi="Arial" w:cs="Arial"/>
        <w:b/>
        <w:sz w:val="24"/>
        <w:szCs w:val="24"/>
      </w:rPr>
    </w:pPr>
    <w:r w:rsidRPr="00AF3005">
      <w:rPr>
        <w:rFonts w:ascii="Arial" w:hAnsi="Arial" w:cs="Arial"/>
        <w:b/>
        <w:sz w:val="24"/>
        <w:szCs w:val="24"/>
      </w:rPr>
      <w:t xml:space="preserve">DECRETO NÚMERO                        </w:t>
    </w:r>
    <w:r>
      <w:rPr>
        <w:rFonts w:ascii="Arial" w:hAnsi="Arial" w:cs="Arial"/>
        <w:b/>
        <w:sz w:val="24"/>
        <w:szCs w:val="24"/>
      </w:rPr>
      <w:t>DE 2019</w:t>
    </w:r>
  </w:p>
  <w:p w:rsidR="002B36A7" w:rsidRDefault="002B36A7" w:rsidP="007C2FC4">
    <w:pPr>
      <w:pStyle w:val="Encabezado"/>
    </w:pPr>
  </w:p>
  <w:p w:rsidR="002B36A7" w:rsidRDefault="002B36A7" w:rsidP="007C2FC4">
    <w:pPr>
      <w:pStyle w:val="Encabezado"/>
    </w:pPr>
  </w:p>
  <w:p w:rsidR="002B36A7" w:rsidRPr="00AF3005" w:rsidRDefault="002B36A7" w:rsidP="007C2FC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62CC1"/>
    <w:multiLevelType w:val="hybridMultilevel"/>
    <w:tmpl w:val="6C345E72"/>
    <w:lvl w:ilvl="0" w:tplc="CD2A5392">
      <w:start w:val="1"/>
      <w:numFmt w:val="decimal"/>
      <w:lvlText w:val="%1."/>
      <w:lvlJc w:val="left"/>
      <w:pPr>
        <w:ind w:left="-207" w:hanging="360"/>
      </w:pPr>
      <w:rPr>
        <w:rFonts w:hint="default"/>
      </w:rPr>
    </w:lvl>
    <w:lvl w:ilvl="1" w:tplc="040A0019" w:tentative="1">
      <w:start w:val="1"/>
      <w:numFmt w:val="lowerLetter"/>
      <w:lvlText w:val="%2."/>
      <w:lvlJc w:val="left"/>
      <w:pPr>
        <w:ind w:left="513" w:hanging="360"/>
      </w:pPr>
    </w:lvl>
    <w:lvl w:ilvl="2" w:tplc="040A001B" w:tentative="1">
      <w:start w:val="1"/>
      <w:numFmt w:val="lowerRoman"/>
      <w:lvlText w:val="%3."/>
      <w:lvlJc w:val="right"/>
      <w:pPr>
        <w:ind w:left="1233" w:hanging="180"/>
      </w:pPr>
    </w:lvl>
    <w:lvl w:ilvl="3" w:tplc="040A000F" w:tentative="1">
      <w:start w:val="1"/>
      <w:numFmt w:val="decimal"/>
      <w:lvlText w:val="%4."/>
      <w:lvlJc w:val="left"/>
      <w:pPr>
        <w:ind w:left="1953" w:hanging="360"/>
      </w:pPr>
    </w:lvl>
    <w:lvl w:ilvl="4" w:tplc="040A0019" w:tentative="1">
      <w:start w:val="1"/>
      <w:numFmt w:val="lowerLetter"/>
      <w:lvlText w:val="%5."/>
      <w:lvlJc w:val="left"/>
      <w:pPr>
        <w:ind w:left="2673" w:hanging="360"/>
      </w:pPr>
    </w:lvl>
    <w:lvl w:ilvl="5" w:tplc="040A001B" w:tentative="1">
      <w:start w:val="1"/>
      <w:numFmt w:val="lowerRoman"/>
      <w:lvlText w:val="%6."/>
      <w:lvlJc w:val="right"/>
      <w:pPr>
        <w:ind w:left="3393" w:hanging="180"/>
      </w:pPr>
    </w:lvl>
    <w:lvl w:ilvl="6" w:tplc="040A000F" w:tentative="1">
      <w:start w:val="1"/>
      <w:numFmt w:val="decimal"/>
      <w:lvlText w:val="%7."/>
      <w:lvlJc w:val="left"/>
      <w:pPr>
        <w:ind w:left="4113" w:hanging="360"/>
      </w:pPr>
    </w:lvl>
    <w:lvl w:ilvl="7" w:tplc="040A0019" w:tentative="1">
      <w:start w:val="1"/>
      <w:numFmt w:val="lowerLetter"/>
      <w:lvlText w:val="%8."/>
      <w:lvlJc w:val="left"/>
      <w:pPr>
        <w:ind w:left="4833" w:hanging="360"/>
      </w:pPr>
    </w:lvl>
    <w:lvl w:ilvl="8" w:tplc="040A001B" w:tentative="1">
      <w:start w:val="1"/>
      <w:numFmt w:val="lowerRoman"/>
      <w:lvlText w:val="%9."/>
      <w:lvlJc w:val="right"/>
      <w:pPr>
        <w:ind w:left="5553" w:hanging="180"/>
      </w:pPr>
    </w:lvl>
  </w:abstractNum>
  <w:abstractNum w:abstractNumId="1" w15:restartNumberingAfterBreak="0">
    <w:nsid w:val="129E5B4A"/>
    <w:multiLevelType w:val="multilevel"/>
    <w:tmpl w:val="F9D2A8E4"/>
    <w:lvl w:ilvl="0">
      <w:start w:val="1"/>
      <w:numFmt w:val="decimal"/>
      <w:lvlText w:val="%1."/>
      <w:lvlJc w:val="left"/>
      <w:pPr>
        <w:ind w:left="-207" w:hanging="360"/>
      </w:pPr>
      <w:rPr>
        <w:rFonts w:hint="default"/>
        <w:b w:val="0"/>
      </w:rPr>
    </w:lvl>
    <w:lvl w:ilvl="1">
      <w:start w:val="11"/>
      <w:numFmt w:val="decimal"/>
      <w:isLgl/>
      <w:lvlText w:val="%1.%2."/>
      <w:lvlJc w:val="left"/>
      <w:pPr>
        <w:ind w:left="433" w:hanging="1000"/>
      </w:pPr>
      <w:rPr>
        <w:rFonts w:hint="default"/>
      </w:rPr>
    </w:lvl>
    <w:lvl w:ilvl="2">
      <w:start w:val="2"/>
      <w:numFmt w:val="decimal"/>
      <w:isLgl/>
      <w:lvlText w:val="%1.%2.%3."/>
      <w:lvlJc w:val="left"/>
      <w:pPr>
        <w:ind w:left="433" w:hanging="1000"/>
      </w:pPr>
      <w:rPr>
        <w:rFonts w:hint="default"/>
      </w:rPr>
    </w:lvl>
    <w:lvl w:ilvl="3">
      <w:start w:val="3"/>
      <w:numFmt w:val="decimal"/>
      <w:isLgl/>
      <w:lvlText w:val="%1.%2.%3.%4."/>
      <w:lvlJc w:val="left"/>
      <w:pPr>
        <w:ind w:left="433" w:hanging="1000"/>
      </w:pPr>
      <w:rPr>
        <w:rFonts w:hint="default"/>
      </w:rPr>
    </w:lvl>
    <w:lvl w:ilvl="4">
      <w:start w:val="4"/>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2" w15:restartNumberingAfterBreak="0">
    <w:nsid w:val="18B627DE"/>
    <w:multiLevelType w:val="hybridMultilevel"/>
    <w:tmpl w:val="AD3AFD9C"/>
    <w:lvl w:ilvl="0" w:tplc="18A00B3E">
      <w:start w:val="1"/>
      <w:numFmt w:val="decimal"/>
      <w:lvlText w:val="%1."/>
      <w:lvlJc w:val="left"/>
      <w:pPr>
        <w:ind w:left="-207" w:hanging="360"/>
      </w:pPr>
      <w:rPr>
        <w:rFonts w:hint="default"/>
      </w:rPr>
    </w:lvl>
    <w:lvl w:ilvl="1" w:tplc="040A0019" w:tentative="1">
      <w:start w:val="1"/>
      <w:numFmt w:val="lowerLetter"/>
      <w:lvlText w:val="%2."/>
      <w:lvlJc w:val="left"/>
      <w:pPr>
        <w:ind w:left="513" w:hanging="360"/>
      </w:pPr>
    </w:lvl>
    <w:lvl w:ilvl="2" w:tplc="040A001B" w:tentative="1">
      <w:start w:val="1"/>
      <w:numFmt w:val="lowerRoman"/>
      <w:lvlText w:val="%3."/>
      <w:lvlJc w:val="right"/>
      <w:pPr>
        <w:ind w:left="1233" w:hanging="180"/>
      </w:pPr>
    </w:lvl>
    <w:lvl w:ilvl="3" w:tplc="040A000F" w:tentative="1">
      <w:start w:val="1"/>
      <w:numFmt w:val="decimal"/>
      <w:lvlText w:val="%4."/>
      <w:lvlJc w:val="left"/>
      <w:pPr>
        <w:ind w:left="1953" w:hanging="360"/>
      </w:pPr>
    </w:lvl>
    <w:lvl w:ilvl="4" w:tplc="040A0019" w:tentative="1">
      <w:start w:val="1"/>
      <w:numFmt w:val="lowerLetter"/>
      <w:lvlText w:val="%5."/>
      <w:lvlJc w:val="left"/>
      <w:pPr>
        <w:ind w:left="2673" w:hanging="360"/>
      </w:pPr>
    </w:lvl>
    <w:lvl w:ilvl="5" w:tplc="040A001B" w:tentative="1">
      <w:start w:val="1"/>
      <w:numFmt w:val="lowerRoman"/>
      <w:lvlText w:val="%6."/>
      <w:lvlJc w:val="right"/>
      <w:pPr>
        <w:ind w:left="3393" w:hanging="180"/>
      </w:pPr>
    </w:lvl>
    <w:lvl w:ilvl="6" w:tplc="040A000F" w:tentative="1">
      <w:start w:val="1"/>
      <w:numFmt w:val="decimal"/>
      <w:lvlText w:val="%7."/>
      <w:lvlJc w:val="left"/>
      <w:pPr>
        <w:ind w:left="4113" w:hanging="360"/>
      </w:pPr>
    </w:lvl>
    <w:lvl w:ilvl="7" w:tplc="040A0019" w:tentative="1">
      <w:start w:val="1"/>
      <w:numFmt w:val="lowerLetter"/>
      <w:lvlText w:val="%8."/>
      <w:lvlJc w:val="left"/>
      <w:pPr>
        <w:ind w:left="4833" w:hanging="360"/>
      </w:pPr>
    </w:lvl>
    <w:lvl w:ilvl="8" w:tplc="040A001B" w:tentative="1">
      <w:start w:val="1"/>
      <w:numFmt w:val="lowerRoman"/>
      <w:lvlText w:val="%9."/>
      <w:lvlJc w:val="right"/>
      <w:pPr>
        <w:ind w:left="5553" w:hanging="180"/>
      </w:pPr>
    </w:lvl>
  </w:abstractNum>
  <w:abstractNum w:abstractNumId="3" w15:restartNumberingAfterBreak="0">
    <w:nsid w:val="1A5F7030"/>
    <w:multiLevelType w:val="hybridMultilevel"/>
    <w:tmpl w:val="EA82006A"/>
    <w:lvl w:ilvl="0" w:tplc="F9B89516">
      <w:start w:val="1"/>
      <w:numFmt w:val="lowerLetter"/>
      <w:lvlText w:val="%1)"/>
      <w:lvlJc w:val="left"/>
      <w:pPr>
        <w:ind w:left="153" w:hanging="360"/>
      </w:pPr>
      <w:rPr>
        <w:rFonts w:hint="default"/>
      </w:rPr>
    </w:lvl>
    <w:lvl w:ilvl="1" w:tplc="040A0019" w:tentative="1">
      <w:start w:val="1"/>
      <w:numFmt w:val="lowerLetter"/>
      <w:lvlText w:val="%2."/>
      <w:lvlJc w:val="left"/>
      <w:pPr>
        <w:ind w:left="873" w:hanging="360"/>
      </w:pPr>
    </w:lvl>
    <w:lvl w:ilvl="2" w:tplc="040A001B" w:tentative="1">
      <w:start w:val="1"/>
      <w:numFmt w:val="lowerRoman"/>
      <w:lvlText w:val="%3."/>
      <w:lvlJc w:val="right"/>
      <w:pPr>
        <w:ind w:left="1593" w:hanging="180"/>
      </w:pPr>
    </w:lvl>
    <w:lvl w:ilvl="3" w:tplc="040A000F" w:tentative="1">
      <w:start w:val="1"/>
      <w:numFmt w:val="decimal"/>
      <w:lvlText w:val="%4."/>
      <w:lvlJc w:val="left"/>
      <w:pPr>
        <w:ind w:left="2313" w:hanging="360"/>
      </w:pPr>
    </w:lvl>
    <w:lvl w:ilvl="4" w:tplc="040A0019" w:tentative="1">
      <w:start w:val="1"/>
      <w:numFmt w:val="lowerLetter"/>
      <w:lvlText w:val="%5."/>
      <w:lvlJc w:val="left"/>
      <w:pPr>
        <w:ind w:left="3033" w:hanging="360"/>
      </w:pPr>
    </w:lvl>
    <w:lvl w:ilvl="5" w:tplc="040A001B" w:tentative="1">
      <w:start w:val="1"/>
      <w:numFmt w:val="lowerRoman"/>
      <w:lvlText w:val="%6."/>
      <w:lvlJc w:val="right"/>
      <w:pPr>
        <w:ind w:left="3753" w:hanging="180"/>
      </w:pPr>
    </w:lvl>
    <w:lvl w:ilvl="6" w:tplc="040A000F" w:tentative="1">
      <w:start w:val="1"/>
      <w:numFmt w:val="decimal"/>
      <w:lvlText w:val="%7."/>
      <w:lvlJc w:val="left"/>
      <w:pPr>
        <w:ind w:left="4473" w:hanging="360"/>
      </w:pPr>
    </w:lvl>
    <w:lvl w:ilvl="7" w:tplc="040A0019" w:tentative="1">
      <w:start w:val="1"/>
      <w:numFmt w:val="lowerLetter"/>
      <w:lvlText w:val="%8."/>
      <w:lvlJc w:val="left"/>
      <w:pPr>
        <w:ind w:left="5193" w:hanging="360"/>
      </w:pPr>
    </w:lvl>
    <w:lvl w:ilvl="8" w:tplc="040A001B" w:tentative="1">
      <w:start w:val="1"/>
      <w:numFmt w:val="lowerRoman"/>
      <w:lvlText w:val="%9."/>
      <w:lvlJc w:val="right"/>
      <w:pPr>
        <w:ind w:left="5913" w:hanging="180"/>
      </w:pPr>
    </w:lvl>
  </w:abstractNum>
  <w:abstractNum w:abstractNumId="4" w15:restartNumberingAfterBreak="0">
    <w:nsid w:val="3D8A25E0"/>
    <w:multiLevelType w:val="hybridMultilevel"/>
    <w:tmpl w:val="28DE2C6E"/>
    <w:lvl w:ilvl="0" w:tplc="9DD0E490">
      <w:start w:val="1"/>
      <w:numFmt w:val="decimal"/>
      <w:lvlText w:val="%1."/>
      <w:lvlJc w:val="left"/>
      <w:pPr>
        <w:ind w:left="-207" w:hanging="360"/>
      </w:pPr>
      <w:rPr>
        <w:rFonts w:hint="default"/>
      </w:rPr>
    </w:lvl>
    <w:lvl w:ilvl="1" w:tplc="040A0019" w:tentative="1">
      <w:start w:val="1"/>
      <w:numFmt w:val="lowerLetter"/>
      <w:lvlText w:val="%2."/>
      <w:lvlJc w:val="left"/>
      <w:pPr>
        <w:ind w:left="513" w:hanging="360"/>
      </w:pPr>
    </w:lvl>
    <w:lvl w:ilvl="2" w:tplc="040A001B" w:tentative="1">
      <w:start w:val="1"/>
      <w:numFmt w:val="lowerRoman"/>
      <w:lvlText w:val="%3."/>
      <w:lvlJc w:val="right"/>
      <w:pPr>
        <w:ind w:left="1233" w:hanging="180"/>
      </w:pPr>
    </w:lvl>
    <w:lvl w:ilvl="3" w:tplc="040A000F" w:tentative="1">
      <w:start w:val="1"/>
      <w:numFmt w:val="decimal"/>
      <w:lvlText w:val="%4."/>
      <w:lvlJc w:val="left"/>
      <w:pPr>
        <w:ind w:left="1953" w:hanging="360"/>
      </w:pPr>
    </w:lvl>
    <w:lvl w:ilvl="4" w:tplc="040A0019" w:tentative="1">
      <w:start w:val="1"/>
      <w:numFmt w:val="lowerLetter"/>
      <w:lvlText w:val="%5."/>
      <w:lvlJc w:val="left"/>
      <w:pPr>
        <w:ind w:left="2673" w:hanging="360"/>
      </w:pPr>
    </w:lvl>
    <w:lvl w:ilvl="5" w:tplc="040A001B" w:tentative="1">
      <w:start w:val="1"/>
      <w:numFmt w:val="lowerRoman"/>
      <w:lvlText w:val="%6."/>
      <w:lvlJc w:val="right"/>
      <w:pPr>
        <w:ind w:left="3393" w:hanging="180"/>
      </w:pPr>
    </w:lvl>
    <w:lvl w:ilvl="6" w:tplc="040A000F" w:tentative="1">
      <w:start w:val="1"/>
      <w:numFmt w:val="decimal"/>
      <w:lvlText w:val="%7."/>
      <w:lvlJc w:val="left"/>
      <w:pPr>
        <w:ind w:left="4113" w:hanging="360"/>
      </w:pPr>
    </w:lvl>
    <w:lvl w:ilvl="7" w:tplc="040A0019" w:tentative="1">
      <w:start w:val="1"/>
      <w:numFmt w:val="lowerLetter"/>
      <w:lvlText w:val="%8."/>
      <w:lvlJc w:val="left"/>
      <w:pPr>
        <w:ind w:left="4833" w:hanging="360"/>
      </w:pPr>
    </w:lvl>
    <w:lvl w:ilvl="8" w:tplc="040A001B" w:tentative="1">
      <w:start w:val="1"/>
      <w:numFmt w:val="lowerRoman"/>
      <w:lvlText w:val="%9."/>
      <w:lvlJc w:val="right"/>
      <w:pPr>
        <w:ind w:left="5553" w:hanging="180"/>
      </w:pPr>
    </w:lvl>
  </w:abstractNum>
  <w:abstractNum w:abstractNumId="5" w15:restartNumberingAfterBreak="0">
    <w:nsid w:val="43B70850"/>
    <w:multiLevelType w:val="hybridMultilevel"/>
    <w:tmpl w:val="6FC6863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6DD612B"/>
    <w:multiLevelType w:val="hybridMultilevel"/>
    <w:tmpl w:val="33AE02A2"/>
    <w:lvl w:ilvl="0" w:tplc="58B0A958">
      <w:start w:val="1"/>
      <w:numFmt w:val="decimal"/>
      <w:lvlText w:val="%1."/>
      <w:lvlJc w:val="left"/>
      <w:pPr>
        <w:ind w:left="-207" w:hanging="360"/>
      </w:pPr>
      <w:rPr>
        <w:rFonts w:hint="default"/>
      </w:rPr>
    </w:lvl>
    <w:lvl w:ilvl="1" w:tplc="040A0019" w:tentative="1">
      <w:start w:val="1"/>
      <w:numFmt w:val="lowerLetter"/>
      <w:lvlText w:val="%2."/>
      <w:lvlJc w:val="left"/>
      <w:pPr>
        <w:ind w:left="513" w:hanging="360"/>
      </w:pPr>
    </w:lvl>
    <w:lvl w:ilvl="2" w:tplc="040A001B" w:tentative="1">
      <w:start w:val="1"/>
      <w:numFmt w:val="lowerRoman"/>
      <w:lvlText w:val="%3."/>
      <w:lvlJc w:val="right"/>
      <w:pPr>
        <w:ind w:left="1233" w:hanging="180"/>
      </w:pPr>
    </w:lvl>
    <w:lvl w:ilvl="3" w:tplc="040A000F" w:tentative="1">
      <w:start w:val="1"/>
      <w:numFmt w:val="decimal"/>
      <w:lvlText w:val="%4."/>
      <w:lvlJc w:val="left"/>
      <w:pPr>
        <w:ind w:left="1953" w:hanging="360"/>
      </w:pPr>
    </w:lvl>
    <w:lvl w:ilvl="4" w:tplc="040A0019" w:tentative="1">
      <w:start w:val="1"/>
      <w:numFmt w:val="lowerLetter"/>
      <w:lvlText w:val="%5."/>
      <w:lvlJc w:val="left"/>
      <w:pPr>
        <w:ind w:left="2673" w:hanging="360"/>
      </w:pPr>
    </w:lvl>
    <w:lvl w:ilvl="5" w:tplc="040A001B" w:tentative="1">
      <w:start w:val="1"/>
      <w:numFmt w:val="lowerRoman"/>
      <w:lvlText w:val="%6."/>
      <w:lvlJc w:val="right"/>
      <w:pPr>
        <w:ind w:left="3393" w:hanging="180"/>
      </w:pPr>
    </w:lvl>
    <w:lvl w:ilvl="6" w:tplc="040A000F" w:tentative="1">
      <w:start w:val="1"/>
      <w:numFmt w:val="decimal"/>
      <w:lvlText w:val="%7."/>
      <w:lvlJc w:val="left"/>
      <w:pPr>
        <w:ind w:left="4113" w:hanging="360"/>
      </w:pPr>
    </w:lvl>
    <w:lvl w:ilvl="7" w:tplc="040A0019" w:tentative="1">
      <w:start w:val="1"/>
      <w:numFmt w:val="lowerLetter"/>
      <w:lvlText w:val="%8."/>
      <w:lvlJc w:val="left"/>
      <w:pPr>
        <w:ind w:left="4833" w:hanging="360"/>
      </w:pPr>
    </w:lvl>
    <w:lvl w:ilvl="8" w:tplc="040A001B" w:tentative="1">
      <w:start w:val="1"/>
      <w:numFmt w:val="lowerRoman"/>
      <w:lvlText w:val="%9."/>
      <w:lvlJc w:val="right"/>
      <w:pPr>
        <w:ind w:left="5553" w:hanging="180"/>
      </w:pPr>
    </w:lvl>
  </w:abstractNum>
  <w:abstractNum w:abstractNumId="7" w15:restartNumberingAfterBreak="0">
    <w:nsid w:val="48D27729"/>
    <w:multiLevelType w:val="hybridMultilevel"/>
    <w:tmpl w:val="F6F23ED0"/>
    <w:lvl w:ilvl="0" w:tplc="42004D38">
      <w:start w:val="1"/>
      <w:numFmt w:val="lowerLetter"/>
      <w:pStyle w:val="Listaconvietas2"/>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58241C18"/>
    <w:multiLevelType w:val="multilevel"/>
    <w:tmpl w:val="F9D2A8E4"/>
    <w:lvl w:ilvl="0">
      <w:start w:val="1"/>
      <w:numFmt w:val="decimal"/>
      <w:lvlText w:val="%1."/>
      <w:lvlJc w:val="left"/>
      <w:pPr>
        <w:ind w:left="-207" w:hanging="360"/>
      </w:pPr>
      <w:rPr>
        <w:rFonts w:hint="default"/>
        <w:b w:val="0"/>
      </w:rPr>
    </w:lvl>
    <w:lvl w:ilvl="1">
      <w:start w:val="11"/>
      <w:numFmt w:val="decimal"/>
      <w:isLgl/>
      <w:lvlText w:val="%1.%2."/>
      <w:lvlJc w:val="left"/>
      <w:pPr>
        <w:ind w:left="433" w:hanging="1000"/>
      </w:pPr>
      <w:rPr>
        <w:rFonts w:hint="default"/>
      </w:rPr>
    </w:lvl>
    <w:lvl w:ilvl="2">
      <w:start w:val="2"/>
      <w:numFmt w:val="decimal"/>
      <w:isLgl/>
      <w:lvlText w:val="%1.%2.%3."/>
      <w:lvlJc w:val="left"/>
      <w:pPr>
        <w:ind w:left="433" w:hanging="1000"/>
      </w:pPr>
      <w:rPr>
        <w:rFonts w:hint="default"/>
      </w:rPr>
    </w:lvl>
    <w:lvl w:ilvl="3">
      <w:start w:val="3"/>
      <w:numFmt w:val="decimal"/>
      <w:isLgl/>
      <w:lvlText w:val="%1.%2.%3.%4."/>
      <w:lvlJc w:val="left"/>
      <w:pPr>
        <w:ind w:left="433" w:hanging="1000"/>
      </w:pPr>
      <w:rPr>
        <w:rFonts w:hint="default"/>
      </w:rPr>
    </w:lvl>
    <w:lvl w:ilvl="4">
      <w:start w:val="4"/>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9" w15:restartNumberingAfterBreak="0">
    <w:nsid w:val="5FBE4867"/>
    <w:multiLevelType w:val="hybridMultilevel"/>
    <w:tmpl w:val="635ACC6C"/>
    <w:lvl w:ilvl="0" w:tplc="7D40600E">
      <w:start w:val="1"/>
      <w:numFmt w:val="decimal"/>
      <w:lvlText w:val="%1."/>
      <w:lvlJc w:val="left"/>
      <w:pPr>
        <w:ind w:left="-207" w:hanging="360"/>
      </w:pPr>
      <w:rPr>
        <w:rFonts w:hint="default"/>
      </w:rPr>
    </w:lvl>
    <w:lvl w:ilvl="1" w:tplc="040A0019" w:tentative="1">
      <w:start w:val="1"/>
      <w:numFmt w:val="lowerLetter"/>
      <w:lvlText w:val="%2."/>
      <w:lvlJc w:val="left"/>
      <w:pPr>
        <w:ind w:left="513" w:hanging="360"/>
      </w:pPr>
    </w:lvl>
    <w:lvl w:ilvl="2" w:tplc="040A001B" w:tentative="1">
      <w:start w:val="1"/>
      <w:numFmt w:val="lowerRoman"/>
      <w:lvlText w:val="%3."/>
      <w:lvlJc w:val="right"/>
      <w:pPr>
        <w:ind w:left="1233" w:hanging="180"/>
      </w:pPr>
    </w:lvl>
    <w:lvl w:ilvl="3" w:tplc="040A000F" w:tentative="1">
      <w:start w:val="1"/>
      <w:numFmt w:val="decimal"/>
      <w:lvlText w:val="%4."/>
      <w:lvlJc w:val="left"/>
      <w:pPr>
        <w:ind w:left="1953" w:hanging="360"/>
      </w:pPr>
    </w:lvl>
    <w:lvl w:ilvl="4" w:tplc="040A0019" w:tentative="1">
      <w:start w:val="1"/>
      <w:numFmt w:val="lowerLetter"/>
      <w:lvlText w:val="%5."/>
      <w:lvlJc w:val="left"/>
      <w:pPr>
        <w:ind w:left="2673" w:hanging="360"/>
      </w:pPr>
    </w:lvl>
    <w:lvl w:ilvl="5" w:tplc="040A001B" w:tentative="1">
      <w:start w:val="1"/>
      <w:numFmt w:val="lowerRoman"/>
      <w:lvlText w:val="%6."/>
      <w:lvlJc w:val="right"/>
      <w:pPr>
        <w:ind w:left="3393" w:hanging="180"/>
      </w:pPr>
    </w:lvl>
    <w:lvl w:ilvl="6" w:tplc="040A000F" w:tentative="1">
      <w:start w:val="1"/>
      <w:numFmt w:val="decimal"/>
      <w:lvlText w:val="%7."/>
      <w:lvlJc w:val="left"/>
      <w:pPr>
        <w:ind w:left="4113" w:hanging="360"/>
      </w:pPr>
    </w:lvl>
    <w:lvl w:ilvl="7" w:tplc="040A0019" w:tentative="1">
      <w:start w:val="1"/>
      <w:numFmt w:val="lowerLetter"/>
      <w:lvlText w:val="%8."/>
      <w:lvlJc w:val="left"/>
      <w:pPr>
        <w:ind w:left="4833" w:hanging="360"/>
      </w:pPr>
    </w:lvl>
    <w:lvl w:ilvl="8" w:tplc="040A001B" w:tentative="1">
      <w:start w:val="1"/>
      <w:numFmt w:val="lowerRoman"/>
      <w:lvlText w:val="%9."/>
      <w:lvlJc w:val="right"/>
      <w:pPr>
        <w:ind w:left="5553" w:hanging="180"/>
      </w:pPr>
    </w:lvl>
  </w:abstractNum>
  <w:abstractNum w:abstractNumId="10" w15:restartNumberingAfterBreak="0">
    <w:nsid w:val="66A75BFE"/>
    <w:multiLevelType w:val="hybridMultilevel"/>
    <w:tmpl w:val="08B2F26E"/>
    <w:lvl w:ilvl="0" w:tplc="21A075DC">
      <w:start w:val="1"/>
      <w:numFmt w:val="decimal"/>
      <w:lvlText w:val="%1."/>
      <w:lvlJc w:val="left"/>
      <w:pPr>
        <w:ind w:left="-207" w:hanging="360"/>
      </w:pPr>
      <w:rPr>
        <w:rFonts w:hint="default"/>
      </w:rPr>
    </w:lvl>
    <w:lvl w:ilvl="1" w:tplc="040A0019" w:tentative="1">
      <w:start w:val="1"/>
      <w:numFmt w:val="lowerLetter"/>
      <w:lvlText w:val="%2."/>
      <w:lvlJc w:val="left"/>
      <w:pPr>
        <w:ind w:left="513" w:hanging="360"/>
      </w:pPr>
    </w:lvl>
    <w:lvl w:ilvl="2" w:tplc="040A001B" w:tentative="1">
      <w:start w:val="1"/>
      <w:numFmt w:val="lowerRoman"/>
      <w:lvlText w:val="%3."/>
      <w:lvlJc w:val="right"/>
      <w:pPr>
        <w:ind w:left="1233" w:hanging="180"/>
      </w:pPr>
    </w:lvl>
    <w:lvl w:ilvl="3" w:tplc="040A000F" w:tentative="1">
      <w:start w:val="1"/>
      <w:numFmt w:val="decimal"/>
      <w:lvlText w:val="%4."/>
      <w:lvlJc w:val="left"/>
      <w:pPr>
        <w:ind w:left="1953" w:hanging="360"/>
      </w:pPr>
    </w:lvl>
    <w:lvl w:ilvl="4" w:tplc="040A0019" w:tentative="1">
      <w:start w:val="1"/>
      <w:numFmt w:val="lowerLetter"/>
      <w:lvlText w:val="%5."/>
      <w:lvlJc w:val="left"/>
      <w:pPr>
        <w:ind w:left="2673" w:hanging="360"/>
      </w:pPr>
    </w:lvl>
    <w:lvl w:ilvl="5" w:tplc="040A001B" w:tentative="1">
      <w:start w:val="1"/>
      <w:numFmt w:val="lowerRoman"/>
      <w:lvlText w:val="%6."/>
      <w:lvlJc w:val="right"/>
      <w:pPr>
        <w:ind w:left="3393" w:hanging="180"/>
      </w:pPr>
    </w:lvl>
    <w:lvl w:ilvl="6" w:tplc="040A000F" w:tentative="1">
      <w:start w:val="1"/>
      <w:numFmt w:val="decimal"/>
      <w:lvlText w:val="%7."/>
      <w:lvlJc w:val="left"/>
      <w:pPr>
        <w:ind w:left="4113" w:hanging="360"/>
      </w:pPr>
    </w:lvl>
    <w:lvl w:ilvl="7" w:tplc="040A0019" w:tentative="1">
      <w:start w:val="1"/>
      <w:numFmt w:val="lowerLetter"/>
      <w:lvlText w:val="%8."/>
      <w:lvlJc w:val="left"/>
      <w:pPr>
        <w:ind w:left="4833" w:hanging="360"/>
      </w:pPr>
    </w:lvl>
    <w:lvl w:ilvl="8" w:tplc="040A001B" w:tentative="1">
      <w:start w:val="1"/>
      <w:numFmt w:val="lowerRoman"/>
      <w:lvlText w:val="%9."/>
      <w:lvlJc w:val="right"/>
      <w:pPr>
        <w:ind w:left="5553" w:hanging="180"/>
      </w:pPr>
    </w:lvl>
  </w:abstractNum>
  <w:abstractNum w:abstractNumId="11" w15:restartNumberingAfterBreak="0">
    <w:nsid w:val="6CE54CE9"/>
    <w:multiLevelType w:val="multilevel"/>
    <w:tmpl w:val="093C9702"/>
    <w:lvl w:ilvl="0">
      <w:start w:val="1"/>
      <w:numFmt w:val="decimal"/>
      <w:lvlText w:val="%1."/>
      <w:lvlJc w:val="left"/>
      <w:pPr>
        <w:ind w:left="-207" w:hanging="360"/>
      </w:pPr>
      <w:rPr>
        <w:rFonts w:hint="default"/>
      </w:rPr>
    </w:lvl>
    <w:lvl w:ilvl="1">
      <w:start w:val="12"/>
      <w:numFmt w:val="decimal"/>
      <w:isLgl/>
      <w:lvlText w:val="%1.%2."/>
      <w:lvlJc w:val="left"/>
      <w:pPr>
        <w:ind w:left="433" w:hanging="1000"/>
      </w:pPr>
      <w:rPr>
        <w:rFonts w:hint="default"/>
      </w:rPr>
    </w:lvl>
    <w:lvl w:ilvl="2">
      <w:start w:val="1"/>
      <w:numFmt w:val="decimal"/>
      <w:isLgl/>
      <w:lvlText w:val="%1.%2.%3."/>
      <w:lvlJc w:val="left"/>
      <w:pPr>
        <w:ind w:left="433" w:hanging="1000"/>
      </w:pPr>
      <w:rPr>
        <w:rFonts w:hint="default"/>
      </w:rPr>
    </w:lvl>
    <w:lvl w:ilvl="3">
      <w:start w:val="1"/>
      <w:numFmt w:val="decimal"/>
      <w:isLgl/>
      <w:lvlText w:val="%1.%2.%3.%4."/>
      <w:lvlJc w:val="left"/>
      <w:pPr>
        <w:ind w:left="433" w:hanging="1000"/>
      </w:pPr>
      <w:rPr>
        <w:rFonts w:hint="default"/>
      </w:rPr>
    </w:lvl>
    <w:lvl w:ilvl="4">
      <w:start w:val="7"/>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12" w15:restartNumberingAfterBreak="0">
    <w:nsid w:val="75AC0DE3"/>
    <w:multiLevelType w:val="hybridMultilevel"/>
    <w:tmpl w:val="4386F090"/>
    <w:lvl w:ilvl="0" w:tplc="F778835E">
      <w:start w:val="1"/>
      <w:numFmt w:val="decimal"/>
      <w:lvlText w:val="%1."/>
      <w:lvlJc w:val="left"/>
      <w:pPr>
        <w:ind w:left="-207" w:hanging="360"/>
      </w:pPr>
      <w:rPr>
        <w:rFonts w:hint="default"/>
      </w:rPr>
    </w:lvl>
    <w:lvl w:ilvl="1" w:tplc="040A0019" w:tentative="1">
      <w:start w:val="1"/>
      <w:numFmt w:val="lowerLetter"/>
      <w:lvlText w:val="%2."/>
      <w:lvlJc w:val="left"/>
      <w:pPr>
        <w:ind w:left="513" w:hanging="360"/>
      </w:pPr>
    </w:lvl>
    <w:lvl w:ilvl="2" w:tplc="040A001B" w:tentative="1">
      <w:start w:val="1"/>
      <w:numFmt w:val="lowerRoman"/>
      <w:lvlText w:val="%3."/>
      <w:lvlJc w:val="right"/>
      <w:pPr>
        <w:ind w:left="1233" w:hanging="180"/>
      </w:pPr>
    </w:lvl>
    <w:lvl w:ilvl="3" w:tplc="040A000F" w:tentative="1">
      <w:start w:val="1"/>
      <w:numFmt w:val="decimal"/>
      <w:lvlText w:val="%4."/>
      <w:lvlJc w:val="left"/>
      <w:pPr>
        <w:ind w:left="1953" w:hanging="360"/>
      </w:pPr>
    </w:lvl>
    <w:lvl w:ilvl="4" w:tplc="040A0019" w:tentative="1">
      <w:start w:val="1"/>
      <w:numFmt w:val="lowerLetter"/>
      <w:lvlText w:val="%5."/>
      <w:lvlJc w:val="left"/>
      <w:pPr>
        <w:ind w:left="2673" w:hanging="360"/>
      </w:pPr>
    </w:lvl>
    <w:lvl w:ilvl="5" w:tplc="040A001B" w:tentative="1">
      <w:start w:val="1"/>
      <w:numFmt w:val="lowerRoman"/>
      <w:lvlText w:val="%6."/>
      <w:lvlJc w:val="right"/>
      <w:pPr>
        <w:ind w:left="3393" w:hanging="180"/>
      </w:pPr>
    </w:lvl>
    <w:lvl w:ilvl="6" w:tplc="040A000F" w:tentative="1">
      <w:start w:val="1"/>
      <w:numFmt w:val="decimal"/>
      <w:lvlText w:val="%7."/>
      <w:lvlJc w:val="left"/>
      <w:pPr>
        <w:ind w:left="4113" w:hanging="360"/>
      </w:pPr>
    </w:lvl>
    <w:lvl w:ilvl="7" w:tplc="040A0019" w:tentative="1">
      <w:start w:val="1"/>
      <w:numFmt w:val="lowerLetter"/>
      <w:lvlText w:val="%8."/>
      <w:lvlJc w:val="left"/>
      <w:pPr>
        <w:ind w:left="4833" w:hanging="360"/>
      </w:pPr>
    </w:lvl>
    <w:lvl w:ilvl="8" w:tplc="040A001B" w:tentative="1">
      <w:start w:val="1"/>
      <w:numFmt w:val="lowerRoman"/>
      <w:lvlText w:val="%9."/>
      <w:lvlJc w:val="right"/>
      <w:pPr>
        <w:ind w:left="5553" w:hanging="180"/>
      </w:pPr>
    </w:lvl>
  </w:abstractNum>
  <w:num w:numId="1">
    <w:abstractNumId w:val="7"/>
  </w:num>
  <w:num w:numId="2">
    <w:abstractNumId w:val="12"/>
  </w:num>
  <w:num w:numId="3">
    <w:abstractNumId w:val="3"/>
  </w:num>
  <w:num w:numId="4">
    <w:abstractNumId w:val="10"/>
  </w:num>
  <w:num w:numId="5">
    <w:abstractNumId w:val="4"/>
  </w:num>
  <w:num w:numId="6">
    <w:abstractNumId w:val="6"/>
  </w:num>
  <w:num w:numId="7">
    <w:abstractNumId w:val="2"/>
  </w:num>
  <w:num w:numId="8">
    <w:abstractNumId w:val="9"/>
  </w:num>
  <w:num w:numId="9">
    <w:abstractNumId w:val="8"/>
  </w:num>
  <w:num w:numId="10">
    <w:abstractNumId w:val="1"/>
  </w:num>
  <w:num w:numId="11">
    <w:abstractNumId w:val="11"/>
  </w:num>
  <w:num w:numId="12">
    <w:abstractNumId w:val="0"/>
  </w:num>
  <w:num w:numId="1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6F3"/>
    <w:rsid w:val="000010F6"/>
    <w:rsid w:val="000034C2"/>
    <w:rsid w:val="00022FF6"/>
    <w:rsid w:val="00041465"/>
    <w:rsid w:val="00041E1C"/>
    <w:rsid w:val="00043B81"/>
    <w:rsid w:val="00044679"/>
    <w:rsid w:val="0005042D"/>
    <w:rsid w:val="00071D8D"/>
    <w:rsid w:val="00075E35"/>
    <w:rsid w:val="00092B94"/>
    <w:rsid w:val="00094522"/>
    <w:rsid w:val="000A15F4"/>
    <w:rsid w:val="000B3B45"/>
    <w:rsid w:val="000B3FF2"/>
    <w:rsid w:val="000B56ED"/>
    <w:rsid w:val="000B636E"/>
    <w:rsid w:val="000C1D70"/>
    <w:rsid w:val="000C534D"/>
    <w:rsid w:val="000C591A"/>
    <w:rsid w:val="000C6BF5"/>
    <w:rsid w:val="000D342E"/>
    <w:rsid w:val="000D570B"/>
    <w:rsid w:val="000E0F6D"/>
    <w:rsid w:val="000E22EA"/>
    <w:rsid w:val="001014CC"/>
    <w:rsid w:val="0010470B"/>
    <w:rsid w:val="00104763"/>
    <w:rsid w:val="00124603"/>
    <w:rsid w:val="00135F62"/>
    <w:rsid w:val="00151479"/>
    <w:rsid w:val="001518A5"/>
    <w:rsid w:val="0015360A"/>
    <w:rsid w:val="00155208"/>
    <w:rsid w:val="001561C6"/>
    <w:rsid w:val="00166058"/>
    <w:rsid w:val="00172316"/>
    <w:rsid w:val="00176AA5"/>
    <w:rsid w:val="001804DA"/>
    <w:rsid w:val="00185DBE"/>
    <w:rsid w:val="001950CC"/>
    <w:rsid w:val="00196964"/>
    <w:rsid w:val="001A0A96"/>
    <w:rsid w:val="001A4B01"/>
    <w:rsid w:val="001C5D21"/>
    <w:rsid w:val="001D1C9E"/>
    <w:rsid w:val="001E18FF"/>
    <w:rsid w:val="001E2ADC"/>
    <w:rsid w:val="001F335E"/>
    <w:rsid w:val="001F3772"/>
    <w:rsid w:val="001F416C"/>
    <w:rsid w:val="002003B0"/>
    <w:rsid w:val="0020220D"/>
    <w:rsid w:val="0021166A"/>
    <w:rsid w:val="00213E36"/>
    <w:rsid w:val="00214EDC"/>
    <w:rsid w:val="002162BE"/>
    <w:rsid w:val="002200E5"/>
    <w:rsid w:val="00236593"/>
    <w:rsid w:val="00246C39"/>
    <w:rsid w:val="0025552C"/>
    <w:rsid w:val="00265EFA"/>
    <w:rsid w:val="00282C01"/>
    <w:rsid w:val="00291567"/>
    <w:rsid w:val="00293826"/>
    <w:rsid w:val="002A0BCC"/>
    <w:rsid w:val="002A1795"/>
    <w:rsid w:val="002A28F6"/>
    <w:rsid w:val="002A6A3B"/>
    <w:rsid w:val="002B2D1D"/>
    <w:rsid w:val="002B36A7"/>
    <w:rsid w:val="002B7796"/>
    <w:rsid w:val="002C05DB"/>
    <w:rsid w:val="002C232C"/>
    <w:rsid w:val="002E3160"/>
    <w:rsid w:val="002E437F"/>
    <w:rsid w:val="002E494D"/>
    <w:rsid w:val="002E7182"/>
    <w:rsid w:val="002F4490"/>
    <w:rsid w:val="002F4F6F"/>
    <w:rsid w:val="003101B2"/>
    <w:rsid w:val="00310A2C"/>
    <w:rsid w:val="0031468A"/>
    <w:rsid w:val="0031468D"/>
    <w:rsid w:val="00316869"/>
    <w:rsid w:val="00322BD6"/>
    <w:rsid w:val="00324DED"/>
    <w:rsid w:val="0032752A"/>
    <w:rsid w:val="00333D41"/>
    <w:rsid w:val="00356BA9"/>
    <w:rsid w:val="00375599"/>
    <w:rsid w:val="0038013B"/>
    <w:rsid w:val="003903F3"/>
    <w:rsid w:val="00393B88"/>
    <w:rsid w:val="003B04CE"/>
    <w:rsid w:val="003B065E"/>
    <w:rsid w:val="003B156A"/>
    <w:rsid w:val="003B188B"/>
    <w:rsid w:val="003B6132"/>
    <w:rsid w:val="003D1057"/>
    <w:rsid w:val="003D5177"/>
    <w:rsid w:val="003E2B54"/>
    <w:rsid w:val="003E7920"/>
    <w:rsid w:val="00405711"/>
    <w:rsid w:val="004060F2"/>
    <w:rsid w:val="00410719"/>
    <w:rsid w:val="00410E61"/>
    <w:rsid w:val="004329E9"/>
    <w:rsid w:val="00447FB3"/>
    <w:rsid w:val="004522AB"/>
    <w:rsid w:val="004567A7"/>
    <w:rsid w:val="00464ED0"/>
    <w:rsid w:val="00474156"/>
    <w:rsid w:val="00481A82"/>
    <w:rsid w:val="00496CF6"/>
    <w:rsid w:val="004A379E"/>
    <w:rsid w:val="004A5E30"/>
    <w:rsid w:val="004B2BD4"/>
    <w:rsid w:val="004B4314"/>
    <w:rsid w:val="004C20CB"/>
    <w:rsid w:val="004D10A0"/>
    <w:rsid w:val="004F34C3"/>
    <w:rsid w:val="004F6D08"/>
    <w:rsid w:val="005033DC"/>
    <w:rsid w:val="00503902"/>
    <w:rsid w:val="00504F03"/>
    <w:rsid w:val="00514413"/>
    <w:rsid w:val="0053083A"/>
    <w:rsid w:val="00560518"/>
    <w:rsid w:val="005710CA"/>
    <w:rsid w:val="005753D3"/>
    <w:rsid w:val="005769C2"/>
    <w:rsid w:val="00576B4D"/>
    <w:rsid w:val="0058681D"/>
    <w:rsid w:val="0059393B"/>
    <w:rsid w:val="00597933"/>
    <w:rsid w:val="005A33F9"/>
    <w:rsid w:val="005A6B30"/>
    <w:rsid w:val="005B70AB"/>
    <w:rsid w:val="005C671A"/>
    <w:rsid w:val="005D3427"/>
    <w:rsid w:val="005D4E85"/>
    <w:rsid w:val="005D79CB"/>
    <w:rsid w:val="005F4409"/>
    <w:rsid w:val="00642939"/>
    <w:rsid w:val="00653998"/>
    <w:rsid w:val="006553D3"/>
    <w:rsid w:val="00656B07"/>
    <w:rsid w:val="006764C6"/>
    <w:rsid w:val="00690111"/>
    <w:rsid w:val="00693FE6"/>
    <w:rsid w:val="0069684C"/>
    <w:rsid w:val="006A1EA3"/>
    <w:rsid w:val="006A2DA8"/>
    <w:rsid w:val="006C1424"/>
    <w:rsid w:val="006D2D2A"/>
    <w:rsid w:val="006E14CB"/>
    <w:rsid w:val="006E3111"/>
    <w:rsid w:val="006F380E"/>
    <w:rsid w:val="006F64B7"/>
    <w:rsid w:val="00711E96"/>
    <w:rsid w:val="00711FF7"/>
    <w:rsid w:val="00721ED3"/>
    <w:rsid w:val="00731227"/>
    <w:rsid w:val="00774D85"/>
    <w:rsid w:val="00776E2D"/>
    <w:rsid w:val="007A08BE"/>
    <w:rsid w:val="007A2800"/>
    <w:rsid w:val="007B112A"/>
    <w:rsid w:val="007C1053"/>
    <w:rsid w:val="007C2FC4"/>
    <w:rsid w:val="007E1120"/>
    <w:rsid w:val="007F069B"/>
    <w:rsid w:val="007F2F54"/>
    <w:rsid w:val="007F5F7D"/>
    <w:rsid w:val="008030F3"/>
    <w:rsid w:val="008063CF"/>
    <w:rsid w:val="0080699C"/>
    <w:rsid w:val="0081072C"/>
    <w:rsid w:val="008112F0"/>
    <w:rsid w:val="00815397"/>
    <w:rsid w:val="00817956"/>
    <w:rsid w:val="00826076"/>
    <w:rsid w:val="00845F24"/>
    <w:rsid w:val="0085148C"/>
    <w:rsid w:val="0085753F"/>
    <w:rsid w:val="00864A97"/>
    <w:rsid w:val="00865FCE"/>
    <w:rsid w:val="0089212D"/>
    <w:rsid w:val="008952E5"/>
    <w:rsid w:val="008A1BFB"/>
    <w:rsid w:val="008A69C0"/>
    <w:rsid w:val="008B214A"/>
    <w:rsid w:val="008D1629"/>
    <w:rsid w:val="008D3EED"/>
    <w:rsid w:val="008D7D79"/>
    <w:rsid w:val="008E4DAD"/>
    <w:rsid w:val="008F1DB7"/>
    <w:rsid w:val="008F2A60"/>
    <w:rsid w:val="0091564D"/>
    <w:rsid w:val="00916C73"/>
    <w:rsid w:val="0091704D"/>
    <w:rsid w:val="00917973"/>
    <w:rsid w:val="00917C03"/>
    <w:rsid w:val="00917DEF"/>
    <w:rsid w:val="00944B3B"/>
    <w:rsid w:val="009456E9"/>
    <w:rsid w:val="00950B03"/>
    <w:rsid w:val="00953769"/>
    <w:rsid w:val="00960E13"/>
    <w:rsid w:val="00963279"/>
    <w:rsid w:val="00974C7A"/>
    <w:rsid w:val="009A4664"/>
    <w:rsid w:val="009C3FEF"/>
    <w:rsid w:val="009D0352"/>
    <w:rsid w:val="009D041E"/>
    <w:rsid w:val="009D31E1"/>
    <w:rsid w:val="009D7DA4"/>
    <w:rsid w:val="009F3C94"/>
    <w:rsid w:val="009F54B4"/>
    <w:rsid w:val="00A064DE"/>
    <w:rsid w:val="00A123EE"/>
    <w:rsid w:val="00A15C6E"/>
    <w:rsid w:val="00A26927"/>
    <w:rsid w:val="00A27EAF"/>
    <w:rsid w:val="00A467D4"/>
    <w:rsid w:val="00A54C6E"/>
    <w:rsid w:val="00A561F0"/>
    <w:rsid w:val="00A73F06"/>
    <w:rsid w:val="00A9568A"/>
    <w:rsid w:val="00AA2170"/>
    <w:rsid w:val="00AA2540"/>
    <w:rsid w:val="00AB1196"/>
    <w:rsid w:val="00AC2397"/>
    <w:rsid w:val="00AC4F66"/>
    <w:rsid w:val="00AD7465"/>
    <w:rsid w:val="00AE148D"/>
    <w:rsid w:val="00AE3A8B"/>
    <w:rsid w:val="00AE4D38"/>
    <w:rsid w:val="00AE79B2"/>
    <w:rsid w:val="00AF334C"/>
    <w:rsid w:val="00AF6551"/>
    <w:rsid w:val="00B12851"/>
    <w:rsid w:val="00B17662"/>
    <w:rsid w:val="00B20455"/>
    <w:rsid w:val="00B2077C"/>
    <w:rsid w:val="00B3096F"/>
    <w:rsid w:val="00B4312B"/>
    <w:rsid w:val="00B54718"/>
    <w:rsid w:val="00B562E0"/>
    <w:rsid w:val="00B57259"/>
    <w:rsid w:val="00B7137B"/>
    <w:rsid w:val="00B71954"/>
    <w:rsid w:val="00B76A1F"/>
    <w:rsid w:val="00B90A22"/>
    <w:rsid w:val="00B91506"/>
    <w:rsid w:val="00BA148B"/>
    <w:rsid w:val="00BA4647"/>
    <w:rsid w:val="00BA58F4"/>
    <w:rsid w:val="00BB5C2C"/>
    <w:rsid w:val="00BB796E"/>
    <w:rsid w:val="00BC3163"/>
    <w:rsid w:val="00BD4235"/>
    <w:rsid w:val="00BE4725"/>
    <w:rsid w:val="00BF50B7"/>
    <w:rsid w:val="00BF5DB4"/>
    <w:rsid w:val="00C05B62"/>
    <w:rsid w:val="00C07D56"/>
    <w:rsid w:val="00C110A6"/>
    <w:rsid w:val="00C13F40"/>
    <w:rsid w:val="00C25831"/>
    <w:rsid w:val="00C41E26"/>
    <w:rsid w:val="00C42D34"/>
    <w:rsid w:val="00C44143"/>
    <w:rsid w:val="00C4528B"/>
    <w:rsid w:val="00C63812"/>
    <w:rsid w:val="00C63BC7"/>
    <w:rsid w:val="00C7025C"/>
    <w:rsid w:val="00C7309C"/>
    <w:rsid w:val="00C81FDD"/>
    <w:rsid w:val="00C87FAE"/>
    <w:rsid w:val="00C91FA3"/>
    <w:rsid w:val="00C93B80"/>
    <w:rsid w:val="00C95DB8"/>
    <w:rsid w:val="00C9609C"/>
    <w:rsid w:val="00CA1842"/>
    <w:rsid w:val="00CA55AE"/>
    <w:rsid w:val="00CB3659"/>
    <w:rsid w:val="00CC4AD7"/>
    <w:rsid w:val="00CD498C"/>
    <w:rsid w:val="00CE0008"/>
    <w:rsid w:val="00CE73A4"/>
    <w:rsid w:val="00CF02A4"/>
    <w:rsid w:val="00CF0B48"/>
    <w:rsid w:val="00CF66F3"/>
    <w:rsid w:val="00D06AA4"/>
    <w:rsid w:val="00D0799B"/>
    <w:rsid w:val="00D11691"/>
    <w:rsid w:val="00D15D49"/>
    <w:rsid w:val="00D25C84"/>
    <w:rsid w:val="00D512E7"/>
    <w:rsid w:val="00D527F1"/>
    <w:rsid w:val="00D55807"/>
    <w:rsid w:val="00D651E8"/>
    <w:rsid w:val="00D824A9"/>
    <w:rsid w:val="00D90864"/>
    <w:rsid w:val="00DA011B"/>
    <w:rsid w:val="00DB5A91"/>
    <w:rsid w:val="00DB5D6B"/>
    <w:rsid w:val="00DC000C"/>
    <w:rsid w:val="00DC2801"/>
    <w:rsid w:val="00DC42A9"/>
    <w:rsid w:val="00DC4AD5"/>
    <w:rsid w:val="00DD4A1B"/>
    <w:rsid w:val="00DD6C0B"/>
    <w:rsid w:val="00E04530"/>
    <w:rsid w:val="00E04DBB"/>
    <w:rsid w:val="00E10443"/>
    <w:rsid w:val="00E13ACA"/>
    <w:rsid w:val="00E172EA"/>
    <w:rsid w:val="00E25DD9"/>
    <w:rsid w:val="00E268BC"/>
    <w:rsid w:val="00E26F4F"/>
    <w:rsid w:val="00E27309"/>
    <w:rsid w:val="00E32167"/>
    <w:rsid w:val="00E3330C"/>
    <w:rsid w:val="00E365F6"/>
    <w:rsid w:val="00E40117"/>
    <w:rsid w:val="00E444C6"/>
    <w:rsid w:val="00E574A1"/>
    <w:rsid w:val="00E63B84"/>
    <w:rsid w:val="00E73C6D"/>
    <w:rsid w:val="00E74F1F"/>
    <w:rsid w:val="00E8652A"/>
    <w:rsid w:val="00E94617"/>
    <w:rsid w:val="00E97E78"/>
    <w:rsid w:val="00EA0F01"/>
    <w:rsid w:val="00EC17BD"/>
    <w:rsid w:val="00EC7882"/>
    <w:rsid w:val="00ED3140"/>
    <w:rsid w:val="00ED521D"/>
    <w:rsid w:val="00ED63A5"/>
    <w:rsid w:val="00EF36FE"/>
    <w:rsid w:val="00F03D8B"/>
    <w:rsid w:val="00F0788D"/>
    <w:rsid w:val="00F104E7"/>
    <w:rsid w:val="00F13807"/>
    <w:rsid w:val="00F2273E"/>
    <w:rsid w:val="00F269C8"/>
    <w:rsid w:val="00F466BF"/>
    <w:rsid w:val="00F51416"/>
    <w:rsid w:val="00F547A8"/>
    <w:rsid w:val="00F627E2"/>
    <w:rsid w:val="00F765EC"/>
    <w:rsid w:val="00F80F41"/>
    <w:rsid w:val="00F80F47"/>
    <w:rsid w:val="00F813FC"/>
    <w:rsid w:val="00F93450"/>
    <w:rsid w:val="00FA7095"/>
    <w:rsid w:val="00FB08EA"/>
    <w:rsid w:val="00FB38FA"/>
    <w:rsid w:val="00FC111D"/>
    <w:rsid w:val="00FC3FD3"/>
    <w:rsid w:val="00FE5C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A75715B-6EBE-479E-8250-B089A5D4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933"/>
    <w:rPr>
      <w:lang w:val="es-ES"/>
    </w:rPr>
  </w:style>
  <w:style w:type="paragraph" w:styleId="Ttulo1">
    <w:name w:val="heading 1"/>
    <w:basedOn w:val="Normal"/>
    <w:next w:val="Normal"/>
    <w:link w:val="Ttulo1Car"/>
    <w:uiPriority w:val="9"/>
    <w:qFormat/>
    <w:rsid w:val="00CF66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F66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66F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F66F3"/>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CF66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66F3"/>
  </w:style>
  <w:style w:type="paragraph" w:styleId="Piedepgina">
    <w:name w:val="footer"/>
    <w:basedOn w:val="Normal"/>
    <w:link w:val="PiedepginaCar"/>
    <w:uiPriority w:val="99"/>
    <w:unhideWhenUsed/>
    <w:rsid w:val="00CF66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66F3"/>
  </w:style>
  <w:style w:type="paragraph" w:styleId="Textonotapie">
    <w:name w:val="footnote text"/>
    <w:basedOn w:val="Normal"/>
    <w:link w:val="TextonotapieCar"/>
    <w:uiPriority w:val="99"/>
    <w:semiHidden/>
    <w:unhideWhenUsed/>
    <w:rsid w:val="00CF66F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F66F3"/>
    <w:rPr>
      <w:sz w:val="20"/>
      <w:szCs w:val="20"/>
      <w:lang w:val="es-ES"/>
    </w:rPr>
  </w:style>
  <w:style w:type="character" w:styleId="Refdecomentario">
    <w:name w:val="annotation reference"/>
    <w:uiPriority w:val="99"/>
    <w:rsid w:val="00CF66F3"/>
    <w:rPr>
      <w:sz w:val="16"/>
      <w:szCs w:val="16"/>
    </w:rPr>
  </w:style>
  <w:style w:type="paragraph" w:styleId="Textocomentario">
    <w:name w:val="annotation text"/>
    <w:basedOn w:val="Normal"/>
    <w:link w:val="TextocomentarioCar"/>
    <w:uiPriority w:val="99"/>
    <w:rsid w:val="00CF66F3"/>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CF66F3"/>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CF66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66F3"/>
    <w:rPr>
      <w:rFonts w:ascii="Tahoma" w:hAnsi="Tahoma" w:cs="Tahoma"/>
      <w:sz w:val="16"/>
      <w:szCs w:val="16"/>
    </w:rPr>
  </w:style>
  <w:style w:type="paragraph" w:styleId="Prrafodelista">
    <w:name w:val="List Paragraph"/>
    <w:basedOn w:val="Normal"/>
    <w:uiPriority w:val="34"/>
    <w:qFormat/>
    <w:rsid w:val="00CF66F3"/>
    <w:pPr>
      <w:ind w:left="720"/>
      <w:contextualSpacing/>
    </w:pPr>
  </w:style>
  <w:style w:type="paragraph" w:styleId="NormalWeb">
    <w:name w:val="Normal (Web)"/>
    <w:basedOn w:val="Normal"/>
    <w:uiPriority w:val="99"/>
    <w:unhideWhenUsed/>
    <w:rsid w:val="00CF66F3"/>
    <w:rPr>
      <w:rFonts w:ascii="Times New Roman" w:hAnsi="Times New Roman" w:cs="Times New Roman"/>
      <w:sz w:val="24"/>
      <w:szCs w:val="24"/>
    </w:rPr>
  </w:style>
  <w:style w:type="character" w:customStyle="1" w:styleId="AsuntodelcomentarioCar">
    <w:name w:val="Asunto del comentario Car"/>
    <w:basedOn w:val="TextocomentarioCar"/>
    <w:link w:val="Asuntodelcomentario"/>
    <w:uiPriority w:val="99"/>
    <w:semiHidden/>
    <w:rsid w:val="00CF66F3"/>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F66F3"/>
    <w:pPr>
      <w:spacing w:after="160"/>
    </w:pPr>
    <w:rPr>
      <w:b/>
      <w:bCs/>
    </w:rPr>
  </w:style>
  <w:style w:type="character" w:customStyle="1" w:styleId="AsuntodelcomentarioCar1">
    <w:name w:val="Asunto del comentario Car1"/>
    <w:basedOn w:val="TextocomentarioCar"/>
    <w:uiPriority w:val="99"/>
    <w:semiHidden/>
    <w:rsid w:val="00CF66F3"/>
    <w:rPr>
      <w:rFonts w:ascii="Times New Roman" w:eastAsia="Times New Roman" w:hAnsi="Times New Roman" w:cs="Times New Roman"/>
      <w:b/>
      <w:bCs/>
      <w:sz w:val="20"/>
      <w:szCs w:val="20"/>
      <w:lang w:val="es-ES" w:eastAsia="es-ES"/>
    </w:rPr>
  </w:style>
  <w:style w:type="paragraph" w:styleId="Listaconvietas2">
    <w:name w:val="List Bullet 2"/>
    <w:basedOn w:val="Normal"/>
    <w:rsid w:val="00CF66F3"/>
    <w:pPr>
      <w:numPr>
        <w:numId w:val="1"/>
      </w:numPr>
      <w:spacing w:after="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CF66F3"/>
    <w:rPr>
      <w:color w:val="0563C1" w:themeColor="hyperlink"/>
      <w:u w:val="single"/>
    </w:rPr>
  </w:style>
  <w:style w:type="paragraph" w:styleId="Sangra2detindependiente">
    <w:name w:val="Body Text Indent 2"/>
    <w:basedOn w:val="Normal"/>
    <w:link w:val="Sangra2detindependienteCar"/>
    <w:uiPriority w:val="99"/>
    <w:semiHidden/>
    <w:unhideWhenUsed/>
    <w:rsid w:val="00CF66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F6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801707">
      <w:bodyDiv w:val="1"/>
      <w:marLeft w:val="0"/>
      <w:marRight w:val="0"/>
      <w:marTop w:val="0"/>
      <w:marBottom w:val="0"/>
      <w:divBdr>
        <w:top w:val="none" w:sz="0" w:space="0" w:color="auto"/>
        <w:left w:val="none" w:sz="0" w:space="0" w:color="auto"/>
        <w:bottom w:val="none" w:sz="0" w:space="0" w:color="auto"/>
        <w:right w:val="none" w:sz="0" w:space="0" w:color="auto"/>
      </w:divBdr>
    </w:div>
    <w:div w:id="169673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H7EN5MXTHQNV-662-2109</_dlc_DocId>
    <_dlc_DocIdUrl xmlns="ae9388c0-b1e2-40ea-b6a8-c51c7913cbd2">
      <Url>https://mng.mincultura.gov.co/prensa/noticias/_layouts/15/DocIdRedir.aspx?ID=H7EN5MXTHQNV-662-2109</Url>
      <Description>H7EN5MXTHQNV-662-2109</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DA341872286834AB0D54B93028EBD96" ma:contentTypeVersion="2" ma:contentTypeDescription="Crear nuevo documento." ma:contentTypeScope="" ma:versionID="dcdde9d637bf4a1adf4d5e56f2f474f4">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4781B1-6947-455F-AE4A-4C08ECC98711}"/>
</file>

<file path=customXml/itemProps2.xml><?xml version="1.0" encoding="utf-8"?>
<ds:datastoreItem xmlns:ds="http://schemas.openxmlformats.org/officeDocument/2006/customXml" ds:itemID="{F1E72734-4520-45EE-BCFF-EF9694DF48A5}"/>
</file>

<file path=customXml/itemProps3.xml><?xml version="1.0" encoding="utf-8"?>
<ds:datastoreItem xmlns:ds="http://schemas.openxmlformats.org/officeDocument/2006/customXml" ds:itemID="{DC3E9CD6-B1A8-4EB0-A4FD-75EE78F7C716}"/>
</file>

<file path=customXml/itemProps4.xml><?xml version="1.0" encoding="utf-8"?>
<ds:datastoreItem xmlns:ds="http://schemas.openxmlformats.org/officeDocument/2006/customXml" ds:itemID="{21EB2626-AD88-476A-8B42-DB2A7BC5F97D}"/>
</file>

<file path=customXml/itemProps5.xml><?xml version="1.0" encoding="utf-8"?>
<ds:datastoreItem xmlns:ds="http://schemas.openxmlformats.org/officeDocument/2006/customXml" ds:itemID="{EF011E0A-CBED-4909-857B-919206F54790}"/>
</file>

<file path=docProps/app.xml><?xml version="1.0" encoding="utf-8"?>
<Properties xmlns="http://schemas.openxmlformats.org/officeDocument/2006/extended-properties" xmlns:vt="http://schemas.openxmlformats.org/officeDocument/2006/docPropsVTypes">
  <Template>Normal</Template>
  <TotalTime>1</TotalTime>
  <Pages>8</Pages>
  <Words>4142</Words>
  <Characters>22783</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Gutierrez Prieto</dc:creator>
  <cp:keywords/>
  <dc:description/>
  <cp:lastModifiedBy>Andres Gutierrez Prieto</cp:lastModifiedBy>
  <cp:revision>2</cp:revision>
  <cp:lastPrinted>2019-08-06T11:39:00Z</cp:lastPrinted>
  <dcterms:created xsi:type="dcterms:W3CDTF">2019-11-08T19:56:00Z</dcterms:created>
  <dcterms:modified xsi:type="dcterms:W3CDTF">2019-11-08T19:56:00Z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0x010100FDA341872286834AB0D54B93028EBD96</vt:lpwstr>
  </property>
  <property fmtid="{D5CDD505-2E9C-101B-9397-08002B2CF9AE}" pid="3" name="_dlc_DocIdItemGuid">
    <vt:lpwstr>7ec528be-001e-4c9a-b6be-c9118d74b24c</vt:lpwstr>
  </property>
</Properties>
</file>