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40"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85"/>
      </w:tblGrid>
      <w:tr w:rsidR="006D4B3D" w:rsidRPr="00001B6D" w:rsidTr="006F4A83">
        <w:trPr>
          <w:trHeight w:val="97"/>
        </w:trPr>
        <w:tc>
          <w:tcPr>
            <w:tcW w:w="3434" w:type="dxa"/>
            <w:tcBorders>
              <w:top w:val="single" w:sz="4" w:space="0" w:color="auto"/>
              <w:bottom w:val="single" w:sz="4" w:space="0" w:color="auto"/>
              <w:right w:val="single" w:sz="4" w:space="0" w:color="auto"/>
            </w:tcBorders>
            <w:shd w:val="clear" w:color="auto" w:fill="5B8AFF"/>
            <w:vAlign w:val="center"/>
          </w:tcPr>
          <w:p w:rsidR="006D4B3D" w:rsidRPr="00001B6D" w:rsidRDefault="006D4B3D" w:rsidP="008B71FC">
            <w:pPr>
              <w:pStyle w:val="Ttulo2"/>
              <w:ind w:right="72"/>
              <w:jc w:val="left"/>
              <w:rPr>
                <w:rFonts w:asciiTheme="majorHAnsi" w:hAnsiTheme="majorHAnsi" w:cstheme="majorHAnsi"/>
                <w:bCs/>
                <w:color w:val="FFFFFF"/>
                <w:sz w:val="24"/>
                <w:szCs w:val="24"/>
              </w:rPr>
            </w:pPr>
            <w:r w:rsidRPr="00001B6D">
              <w:rPr>
                <w:rFonts w:asciiTheme="majorHAnsi" w:hAnsiTheme="majorHAnsi" w:cstheme="majorHAnsi"/>
                <w:color w:val="FFFFFF"/>
                <w:sz w:val="24"/>
                <w:szCs w:val="24"/>
                <w:lang w:val="es-CO"/>
              </w:rPr>
              <w:t>Entidad originadora:</w:t>
            </w:r>
          </w:p>
        </w:tc>
        <w:tc>
          <w:tcPr>
            <w:tcW w:w="7406" w:type="dxa"/>
            <w:gridSpan w:val="2"/>
            <w:tcBorders>
              <w:top w:val="single" w:sz="4" w:space="0" w:color="auto"/>
              <w:left w:val="single" w:sz="4" w:space="0" w:color="auto"/>
              <w:bottom w:val="single" w:sz="4" w:space="0" w:color="auto"/>
            </w:tcBorders>
            <w:shd w:val="clear" w:color="auto" w:fill="FFFFFF"/>
            <w:vAlign w:val="center"/>
          </w:tcPr>
          <w:p w:rsidR="006D4B3D" w:rsidRPr="00001B6D" w:rsidRDefault="006D4B3D" w:rsidP="008B71FC">
            <w:pPr>
              <w:pStyle w:val="Ttulo2"/>
              <w:ind w:left="72" w:right="72"/>
              <w:jc w:val="left"/>
              <w:rPr>
                <w:rFonts w:asciiTheme="majorHAnsi" w:hAnsiTheme="majorHAnsi" w:cstheme="majorHAnsi"/>
                <w:b w:val="0"/>
                <w:sz w:val="24"/>
                <w:szCs w:val="24"/>
              </w:rPr>
            </w:pPr>
            <w:r w:rsidRPr="00001B6D">
              <w:rPr>
                <w:rFonts w:asciiTheme="majorHAnsi" w:hAnsiTheme="majorHAnsi" w:cstheme="majorHAnsi"/>
                <w:b w:val="0"/>
                <w:sz w:val="24"/>
                <w:szCs w:val="24"/>
              </w:rPr>
              <w:t>Ministerio de Cultura</w:t>
            </w:r>
          </w:p>
        </w:tc>
      </w:tr>
      <w:tr w:rsidR="006D4B3D" w:rsidRPr="00001B6D" w:rsidTr="006F4A83">
        <w:trPr>
          <w:trHeight w:val="97"/>
        </w:trPr>
        <w:tc>
          <w:tcPr>
            <w:tcW w:w="3434" w:type="dxa"/>
            <w:tcBorders>
              <w:top w:val="single" w:sz="4" w:space="0" w:color="auto"/>
              <w:bottom w:val="single" w:sz="4" w:space="0" w:color="auto"/>
              <w:right w:val="single" w:sz="4" w:space="0" w:color="auto"/>
            </w:tcBorders>
            <w:shd w:val="clear" w:color="auto" w:fill="5B8AFF"/>
            <w:vAlign w:val="center"/>
          </w:tcPr>
          <w:p w:rsidR="006D4B3D" w:rsidRPr="00001B6D" w:rsidRDefault="006D4B3D" w:rsidP="008B71FC">
            <w:pPr>
              <w:pStyle w:val="Ttulo2"/>
              <w:ind w:right="72"/>
              <w:jc w:val="left"/>
              <w:rPr>
                <w:rFonts w:asciiTheme="majorHAnsi" w:hAnsiTheme="majorHAnsi" w:cstheme="majorHAnsi"/>
                <w:bCs/>
                <w:color w:val="FFFFFF"/>
                <w:sz w:val="24"/>
                <w:szCs w:val="24"/>
              </w:rPr>
            </w:pPr>
            <w:r w:rsidRPr="00001B6D">
              <w:rPr>
                <w:rFonts w:asciiTheme="majorHAnsi" w:hAnsiTheme="majorHAnsi" w:cstheme="majorHAnsi"/>
                <w:bCs/>
                <w:color w:val="FFFFFF"/>
                <w:sz w:val="24"/>
                <w:szCs w:val="24"/>
              </w:rPr>
              <w:t>Fecha (dd/mm/</w:t>
            </w:r>
            <w:proofErr w:type="spellStart"/>
            <w:r w:rsidRPr="00001B6D">
              <w:rPr>
                <w:rFonts w:asciiTheme="majorHAnsi" w:hAnsiTheme="majorHAnsi" w:cstheme="majorHAnsi"/>
                <w:bCs/>
                <w:color w:val="FFFFFF"/>
                <w:sz w:val="24"/>
                <w:szCs w:val="24"/>
              </w:rPr>
              <w:t>aa</w:t>
            </w:r>
            <w:proofErr w:type="spellEnd"/>
            <w:r w:rsidRPr="00001B6D">
              <w:rPr>
                <w:rFonts w:asciiTheme="majorHAnsi" w:hAnsiTheme="majorHAnsi" w:cstheme="majorHAnsi"/>
                <w:bCs/>
                <w:color w:val="FFFFFF"/>
                <w:sz w:val="24"/>
                <w:szCs w:val="24"/>
              </w:rPr>
              <w:t>):</w:t>
            </w:r>
          </w:p>
        </w:tc>
        <w:tc>
          <w:tcPr>
            <w:tcW w:w="7406" w:type="dxa"/>
            <w:gridSpan w:val="2"/>
            <w:tcBorders>
              <w:top w:val="single" w:sz="4" w:space="0" w:color="auto"/>
              <w:left w:val="single" w:sz="4" w:space="0" w:color="auto"/>
              <w:bottom w:val="single" w:sz="4" w:space="0" w:color="auto"/>
            </w:tcBorders>
            <w:shd w:val="clear" w:color="auto" w:fill="FFFFFF"/>
            <w:vAlign w:val="center"/>
          </w:tcPr>
          <w:p w:rsidR="006D4B3D" w:rsidRPr="00001B6D" w:rsidRDefault="00C54C63" w:rsidP="008B71FC">
            <w:pPr>
              <w:pStyle w:val="Ttulo2"/>
              <w:ind w:left="72" w:right="72"/>
              <w:jc w:val="both"/>
              <w:rPr>
                <w:rFonts w:asciiTheme="majorHAnsi" w:hAnsiTheme="majorHAnsi" w:cstheme="majorHAnsi"/>
                <w:b w:val="0"/>
                <w:i/>
                <w:color w:val="FF0000"/>
                <w:sz w:val="24"/>
                <w:szCs w:val="24"/>
              </w:rPr>
            </w:pPr>
            <w:r>
              <w:rPr>
                <w:rFonts w:asciiTheme="majorHAnsi" w:hAnsiTheme="majorHAnsi" w:cstheme="majorHAnsi"/>
                <w:b w:val="0"/>
                <w:iCs/>
                <w:sz w:val="24"/>
                <w:szCs w:val="24"/>
              </w:rPr>
              <w:t>16</w:t>
            </w:r>
            <w:r w:rsidR="00001B6D" w:rsidRPr="00001B6D">
              <w:rPr>
                <w:rFonts w:asciiTheme="majorHAnsi" w:hAnsiTheme="majorHAnsi" w:cstheme="majorHAnsi"/>
                <w:b w:val="0"/>
                <w:iCs/>
                <w:sz w:val="24"/>
                <w:szCs w:val="24"/>
              </w:rPr>
              <w:t xml:space="preserve"> de septiembre</w:t>
            </w:r>
            <w:r w:rsidR="006D4B3D" w:rsidRPr="00001B6D">
              <w:rPr>
                <w:rFonts w:asciiTheme="majorHAnsi" w:hAnsiTheme="majorHAnsi" w:cstheme="majorHAnsi"/>
                <w:b w:val="0"/>
                <w:iCs/>
                <w:sz w:val="24"/>
                <w:szCs w:val="24"/>
              </w:rPr>
              <w:t xml:space="preserve"> de 2021</w:t>
            </w:r>
            <w:r w:rsidR="006D4B3D" w:rsidRPr="00001B6D">
              <w:rPr>
                <w:rFonts w:asciiTheme="majorHAnsi" w:hAnsiTheme="majorHAnsi" w:cstheme="majorHAnsi"/>
                <w:b w:val="0"/>
                <w:i/>
                <w:color w:val="FF0000"/>
                <w:sz w:val="24"/>
                <w:szCs w:val="24"/>
              </w:rPr>
              <w:t xml:space="preserve"> </w:t>
            </w:r>
          </w:p>
        </w:tc>
      </w:tr>
      <w:tr w:rsidR="006D4B3D" w:rsidRPr="00001B6D" w:rsidTr="006F4A83">
        <w:trPr>
          <w:trHeight w:val="97"/>
        </w:trPr>
        <w:tc>
          <w:tcPr>
            <w:tcW w:w="3434" w:type="dxa"/>
            <w:tcBorders>
              <w:top w:val="single" w:sz="4" w:space="0" w:color="auto"/>
              <w:bottom w:val="single" w:sz="4" w:space="0" w:color="auto"/>
              <w:right w:val="single" w:sz="4" w:space="0" w:color="auto"/>
            </w:tcBorders>
            <w:shd w:val="clear" w:color="auto" w:fill="5B8AFF"/>
            <w:vAlign w:val="center"/>
          </w:tcPr>
          <w:p w:rsidR="006D4B3D" w:rsidRPr="00001B6D" w:rsidRDefault="006D4B3D" w:rsidP="008B71FC">
            <w:pPr>
              <w:pStyle w:val="Ttulo2"/>
              <w:ind w:right="72"/>
              <w:jc w:val="left"/>
              <w:rPr>
                <w:rFonts w:asciiTheme="majorHAnsi" w:hAnsiTheme="majorHAnsi" w:cstheme="majorHAnsi"/>
                <w:bCs/>
                <w:color w:val="FFFFFF"/>
                <w:sz w:val="24"/>
                <w:szCs w:val="24"/>
              </w:rPr>
            </w:pPr>
            <w:r w:rsidRPr="00001B6D">
              <w:rPr>
                <w:rFonts w:asciiTheme="majorHAnsi" w:hAnsiTheme="majorHAnsi" w:cstheme="majorHAnsi"/>
                <w:bCs/>
                <w:color w:val="FFFFFF"/>
                <w:sz w:val="24"/>
                <w:szCs w:val="24"/>
              </w:rPr>
              <w:t>Proyecto de Decreto/Resolución:</w:t>
            </w:r>
          </w:p>
        </w:tc>
        <w:tc>
          <w:tcPr>
            <w:tcW w:w="7406" w:type="dxa"/>
            <w:gridSpan w:val="2"/>
            <w:tcBorders>
              <w:top w:val="single" w:sz="4" w:space="0" w:color="auto"/>
              <w:left w:val="single" w:sz="4" w:space="0" w:color="auto"/>
              <w:bottom w:val="single" w:sz="4" w:space="0" w:color="auto"/>
            </w:tcBorders>
            <w:shd w:val="clear" w:color="auto" w:fill="FFFFFF"/>
            <w:vAlign w:val="center"/>
          </w:tcPr>
          <w:p w:rsidR="00EF76D8" w:rsidRDefault="00EF76D8" w:rsidP="008B71FC">
            <w:pPr>
              <w:pStyle w:val="Ttulo2"/>
              <w:ind w:left="72" w:right="72"/>
              <w:jc w:val="both"/>
              <w:rPr>
                <w:rFonts w:asciiTheme="majorHAnsi" w:hAnsiTheme="majorHAnsi" w:cstheme="majorHAnsi"/>
                <w:b w:val="0"/>
                <w:sz w:val="24"/>
                <w:szCs w:val="24"/>
              </w:rPr>
            </w:pPr>
          </w:p>
          <w:p w:rsidR="006D4B3D" w:rsidRPr="00001B6D" w:rsidRDefault="006D4B3D" w:rsidP="008B71FC">
            <w:pPr>
              <w:pStyle w:val="Ttulo2"/>
              <w:ind w:left="72" w:right="72"/>
              <w:jc w:val="both"/>
              <w:rPr>
                <w:rFonts w:asciiTheme="majorHAnsi" w:hAnsiTheme="majorHAnsi" w:cstheme="majorHAnsi"/>
                <w:b w:val="0"/>
                <w:sz w:val="24"/>
                <w:szCs w:val="24"/>
              </w:rPr>
            </w:pPr>
            <w:r w:rsidRPr="00001B6D">
              <w:rPr>
                <w:rFonts w:asciiTheme="majorHAnsi" w:hAnsiTheme="majorHAnsi" w:cstheme="majorHAnsi"/>
                <w:b w:val="0"/>
                <w:sz w:val="24"/>
                <w:szCs w:val="24"/>
              </w:rPr>
              <w:t>Por el cual se adiciona el Decreto 1080 de 2015, Único Reglamentario del Sector Cultura, y se reglamenta la Ley 2062 de 2020</w:t>
            </w:r>
          </w:p>
          <w:p w:rsidR="006D4B3D" w:rsidRPr="00001B6D" w:rsidRDefault="006D4B3D" w:rsidP="008B71FC">
            <w:pPr>
              <w:pStyle w:val="Ttulo2"/>
              <w:ind w:left="72" w:right="72"/>
              <w:jc w:val="left"/>
              <w:rPr>
                <w:rFonts w:asciiTheme="majorHAnsi" w:hAnsiTheme="majorHAnsi" w:cstheme="majorHAnsi"/>
                <w:spacing w:val="-3"/>
                <w:sz w:val="24"/>
                <w:szCs w:val="24"/>
              </w:rPr>
            </w:pPr>
          </w:p>
        </w:tc>
      </w:tr>
      <w:tr w:rsidR="006D4B3D" w:rsidRPr="00001B6D" w:rsidTr="006F4A83">
        <w:trPr>
          <w:trHeight w:val="674"/>
        </w:trPr>
        <w:tc>
          <w:tcPr>
            <w:tcW w:w="10840" w:type="dxa"/>
            <w:gridSpan w:val="3"/>
            <w:tcBorders>
              <w:top w:val="single" w:sz="4" w:space="0" w:color="auto"/>
            </w:tcBorders>
            <w:shd w:val="clear" w:color="auto" w:fill="FFFFFF"/>
            <w:vAlign w:val="center"/>
          </w:tcPr>
          <w:p w:rsidR="006D4B3D" w:rsidRPr="00001B6D" w:rsidRDefault="006D4B3D" w:rsidP="008B71FC">
            <w:pPr>
              <w:autoSpaceDE w:val="0"/>
              <w:autoSpaceDN w:val="0"/>
              <w:adjustRightInd w:val="0"/>
              <w:jc w:val="both"/>
              <w:rPr>
                <w:rFonts w:asciiTheme="majorHAnsi" w:eastAsia="Calibri" w:hAnsiTheme="majorHAnsi" w:cstheme="majorHAnsi"/>
                <w:sz w:val="24"/>
                <w:szCs w:val="24"/>
                <w:lang w:val="es-CO" w:eastAsia="en-US"/>
              </w:rPr>
            </w:pPr>
          </w:p>
          <w:p w:rsidR="006D4B3D" w:rsidRPr="00001B6D" w:rsidRDefault="006D4B3D" w:rsidP="006D4B3D">
            <w:pPr>
              <w:numPr>
                <w:ilvl w:val="0"/>
                <w:numId w:val="1"/>
              </w:numPr>
              <w:ind w:left="494"/>
              <w:jc w:val="both"/>
              <w:rPr>
                <w:rFonts w:asciiTheme="majorHAnsi" w:hAnsiTheme="majorHAnsi" w:cstheme="majorHAnsi"/>
                <w:b/>
                <w:color w:val="000000"/>
                <w:sz w:val="24"/>
                <w:szCs w:val="24"/>
                <w:lang w:val="es-CO"/>
              </w:rPr>
            </w:pPr>
            <w:r w:rsidRPr="00001B6D">
              <w:rPr>
                <w:rFonts w:asciiTheme="majorHAnsi" w:hAnsiTheme="majorHAnsi" w:cstheme="majorHAnsi"/>
                <w:b/>
                <w:color w:val="000000"/>
                <w:sz w:val="24"/>
                <w:szCs w:val="24"/>
                <w:lang w:val="es-CO"/>
              </w:rPr>
              <w:t>ANTECEDENTES Y RAZONES DE OPORTUNIDAD Y CONVENIENCIA QUE JUSTIFICAN SU EXPEDICIÓN.</w:t>
            </w:r>
          </w:p>
          <w:p w:rsidR="006D4B3D" w:rsidRPr="00001B6D" w:rsidRDefault="006D4B3D" w:rsidP="008B71FC">
            <w:pPr>
              <w:autoSpaceDE w:val="0"/>
              <w:autoSpaceDN w:val="0"/>
              <w:adjustRightInd w:val="0"/>
              <w:jc w:val="both"/>
              <w:rPr>
                <w:rFonts w:asciiTheme="majorHAnsi" w:eastAsia="Calibri" w:hAnsiTheme="majorHAnsi" w:cstheme="majorHAnsi"/>
                <w:b/>
                <w:bCs/>
                <w:sz w:val="24"/>
                <w:szCs w:val="24"/>
                <w:lang w:val="es-CO" w:eastAsia="en-US"/>
              </w:rPr>
            </w:pPr>
          </w:p>
          <w:p w:rsidR="006D4B3D" w:rsidRPr="00001B6D" w:rsidRDefault="006D4B3D" w:rsidP="008B71FC">
            <w:pPr>
              <w:autoSpaceDE w:val="0"/>
              <w:autoSpaceDN w:val="0"/>
              <w:adjustRightInd w:val="0"/>
              <w:ind w:right="214"/>
              <w:jc w:val="both"/>
              <w:rPr>
                <w:rFonts w:asciiTheme="majorHAnsi" w:eastAsia="Calibri" w:hAnsiTheme="majorHAnsi" w:cstheme="majorHAnsi"/>
                <w:bCs/>
                <w:sz w:val="24"/>
                <w:szCs w:val="24"/>
                <w:lang w:val="es-CO" w:eastAsia="en-US"/>
              </w:rPr>
            </w:pPr>
            <w:r w:rsidRPr="00001B6D">
              <w:rPr>
                <w:rFonts w:asciiTheme="majorHAnsi" w:eastAsia="Calibri" w:hAnsiTheme="majorHAnsi" w:cstheme="majorHAnsi"/>
                <w:bCs/>
                <w:sz w:val="24"/>
                <w:szCs w:val="24"/>
                <w:lang w:val="es-CO" w:eastAsia="en-US"/>
              </w:rPr>
              <w:t>El artículo 70 de la Constitución Política establece que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En consecuencia, el Estado debe promover la investigación, la ciencia, el desarrollo y la difusión de los valores culturales de la Nación.</w:t>
            </w:r>
          </w:p>
          <w:p w:rsidR="006D4B3D" w:rsidRPr="00001B6D" w:rsidRDefault="006D4B3D" w:rsidP="008B71FC">
            <w:pPr>
              <w:autoSpaceDE w:val="0"/>
              <w:autoSpaceDN w:val="0"/>
              <w:adjustRightInd w:val="0"/>
              <w:ind w:right="214"/>
              <w:jc w:val="both"/>
              <w:rPr>
                <w:rFonts w:asciiTheme="majorHAnsi" w:eastAsia="Calibri" w:hAnsiTheme="majorHAnsi" w:cstheme="majorHAnsi"/>
                <w:bCs/>
                <w:sz w:val="24"/>
                <w:szCs w:val="24"/>
                <w:lang w:val="es-CO" w:eastAsia="en-US"/>
              </w:rPr>
            </w:pPr>
          </w:p>
          <w:p w:rsidR="006D4B3D" w:rsidRPr="00001B6D" w:rsidRDefault="006D4B3D" w:rsidP="006F4A83">
            <w:pPr>
              <w:pStyle w:val="NormalWeb"/>
              <w:spacing w:before="0" w:beforeAutospacing="0" w:after="0" w:afterAutospacing="0" w:line="254" w:lineRule="atLeast"/>
              <w:ind w:right="148"/>
              <w:jc w:val="both"/>
              <w:rPr>
                <w:rFonts w:asciiTheme="majorHAnsi" w:eastAsia="Calibri" w:hAnsiTheme="majorHAnsi" w:cstheme="majorHAnsi"/>
                <w:bCs/>
                <w:lang w:eastAsia="en-US"/>
              </w:rPr>
            </w:pPr>
            <w:r w:rsidRPr="00001B6D">
              <w:rPr>
                <w:rFonts w:asciiTheme="majorHAnsi" w:eastAsia="Calibri" w:hAnsiTheme="majorHAnsi" w:cstheme="majorHAnsi"/>
                <w:bCs/>
                <w:lang w:eastAsia="en-US"/>
              </w:rPr>
              <w:t>La Ley 2062 del 28 de octubre de 2020 dictó medidas tendientes a adelantar actividades de conmemoraci</w:t>
            </w:r>
            <w:r w:rsidR="00FF6AF2" w:rsidRPr="00001B6D">
              <w:rPr>
                <w:rFonts w:asciiTheme="majorHAnsi" w:eastAsia="Calibri" w:hAnsiTheme="majorHAnsi" w:cstheme="majorHAnsi"/>
                <w:bCs/>
                <w:lang w:eastAsia="en-US"/>
              </w:rPr>
              <w:t>ón de los cuatrocientos</w:t>
            </w:r>
            <w:r w:rsidRPr="00001B6D">
              <w:rPr>
                <w:rFonts w:asciiTheme="majorHAnsi" w:eastAsia="Calibri" w:hAnsiTheme="majorHAnsi" w:cstheme="majorHAnsi"/>
                <w:bCs/>
                <w:lang w:eastAsia="en-US"/>
              </w:rPr>
              <w:t xml:space="preserve"> años de la ciudad de Bucaramanga en el departamento de Santander, además de crear unos mecanismos financieros, como lo es el “Fondo Bucaramanga 400 años” y de planeación de la gestión pública en materia de proyectos de inversión en el municipio en cuestión. </w:t>
            </w:r>
          </w:p>
          <w:p w:rsidR="006D4B3D" w:rsidRPr="00001B6D" w:rsidRDefault="006D4B3D" w:rsidP="006D4B3D">
            <w:pPr>
              <w:autoSpaceDE w:val="0"/>
              <w:autoSpaceDN w:val="0"/>
              <w:adjustRightInd w:val="0"/>
              <w:ind w:right="214"/>
              <w:jc w:val="both"/>
              <w:rPr>
                <w:rFonts w:asciiTheme="majorHAnsi" w:eastAsia="Calibri" w:hAnsiTheme="majorHAnsi" w:cstheme="majorHAnsi"/>
                <w:bCs/>
                <w:sz w:val="24"/>
                <w:szCs w:val="24"/>
                <w:lang w:eastAsia="en-US"/>
              </w:rPr>
            </w:pPr>
          </w:p>
          <w:p w:rsidR="006D4B3D" w:rsidRPr="00001B6D" w:rsidRDefault="006D4B3D" w:rsidP="008B71FC">
            <w:pPr>
              <w:autoSpaceDE w:val="0"/>
              <w:autoSpaceDN w:val="0"/>
              <w:adjustRightInd w:val="0"/>
              <w:ind w:right="214"/>
              <w:jc w:val="both"/>
              <w:rPr>
                <w:rFonts w:asciiTheme="majorHAnsi" w:eastAsia="Calibri" w:hAnsiTheme="majorHAnsi" w:cstheme="majorHAnsi"/>
                <w:bCs/>
                <w:sz w:val="24"/>
                <w:szCs w:val="24"/>
                <w:lang w:val="es-CO" w:eastAsia="en-US"/>
              </w:rPr>
            </w:pPr>
            <w:r w:rsidRPr="00001B6D">
              <w:rPr>
                <w:rFonts w:asciiTheme="majorHAnsi" w:eastAsia="Calibri" w:hAnsiTheme="majorHAnsi" w:cstheme="majorHAnsi"/>
                <w:bCs/>
                <w:sz w:val="24"/>
                <w:szCs w:val="24"/>
                <w:lang w:val="es-CO" w:eastAsia="en-US"/>
              </w:rPr>
              <w:t>De acuerdo con el artículo 7º de la referida Ley, “Fondo Bucaramanga 400 años” se creó como una cuenta sin per</w:t>
            </w:r>
            <w:r w:rsidR="00FF6AF2" w:rsidRPr="00001B6D">
              <w:rPr>
                <w:rFonts w:asciiTheme="majorHAnsi" w:eastAsia="Calibri" w:hAnsiTheme="majorHAnsi" w:cstheme="majorHAnsi"/>
                <w:bCs/>
                <w:sz w:val="24"/>
                <w:szCs w:val="24"/>
                <w:lang w:val="es-CO" w:eastAsia="en-US"/>
              </w:rPr>
              <w:t>sonería jurídica, y su objeto son el financiamiento de</w:t>
            </w:r>
            <w:r w:rsidRPr="00001B6D">
              <w:rPr>
                <w:rFonts w:asciiTheme="majorHAnsi" w:eastAsia="Calibri" w:hAnsiTheme="majorHAnsi" w:cstheme="majorHAnsi"/>
                <w:bCs/>
                <w:sz w:val="24"/>
                <w:szCs w:val="24"/>
                <w:lang w:val="es-CO" w:eastAsia="en-US"/>
              </w:rPr>
              <w:t xml:space="preserve"> </w:t>
            </w:r>
            <w:r w:rsidR="00FF6AF2" w:rsidRPr="00001B6D">
              <w:rPr>
                <w:rFonts w:asciiTheme="majorHAnsi" w:eastAsia="Calibri" w:hAnsiTheme="majorHAnsi" w:cstheme="majorHAnsi"/>
                <w:bCs/>
                <w:sz w:val="24"/>
                <w:szCs w:val="24"/>
                <w:lang w:val="es-CO" w:eastAsia="en-US"/>
              </w:rPr>
              <w:t xml:space="preserve">las actividades que permitan adelantar la conmemoración de los cuatrocientos (400) años de fundación de la ciudad de Bucaramanga. </w:t>
            </w:r>
          </w:p>
          <w:p w:rsidR="006D4B3D" w:rsidRPr="00001B6D" w:rsidRDefault="006D4B3D" w:rsidP="008B71FC">
            <w:pPr>
              <w:autoSpaceDE w:val="0"/>
              <w:autoSpaceDN w:val="0"/>
              <w:adjustRightInd w:val="0"/>
              <w:ind w:right="214"/>
              <w:jc w:val="both"/>
              <w:rPr>
                <w:rFonts w:asciiTheme="majorHAnsi" w:eastAsia="Calibri" w:hAnsiTheme="majorHAnsi" w:cstheme="majorHAnsi"/>
                <w:bCs/>
                <w:sz w:val="24"/>
                <w:szCs w:val="24"/>
                <w:lang w:eastAsia="en-US"/>
              </w:rPr>
            </w:pPr>
          </w:p>
          <w:p w:rsidR="006D4B3D" w:rsidRPr="00001B6D" w:rsidRDefault="006D4B3D" w:rsidP="008B71FC">
            <w:pPr>
              <w:autoSpaceDE w:val="0"/>
              <w:autoSpaceDN w:val="0"/>
              <w:adjustRightInd w:val="0"/>
              <w:ind w:right="214"/>
              <w:jc w:val="both"/>
              <w:rPr>
                <w:rFonts w:asciiTheme="majorHAnsi" w:eastAsia="Calibri" w:hAnsiTheme="majorHAnsi" w:cstheme="majorHAnsi"/>
                <w:bCs/>
                <w:sz w:val="24"/>
                <w:szCs w:val="24"/>
                <w:lang w:eastAsia="en-US"/>
              </w:rPr>
            </w:pPr>
            <w:r w:rsidRPr="00001B6D">
              <w:rPr>
                <w:rFonts w:asciiTheme="majorHAnsi" w:eastAsia="Calibri" w:hAnsiTheme="majorHAnsi" w:cstheme="majorHAnsi"/>
                <w:bCs/>
                <w:sz w:val="24"/>
                <w:szCs w:val="24"/>
                <w:lang w:eastAsia="en-US"/>
              </w:rPr>
              <w:t>Respecto de los fondos cuenta, la Corte Constitucional, en Sentencia C-713 de 2008 consideró que:</w:t>
            </w:r>
          </w:p>
          <w:p w:rsidR="006D4B3D" w:rsidRPr="00001B6D" w:rsidRDefault="006D4B3D" w:rsidP="008B71FC">
            <w:pPr>
              <w:autoSpaceDE w:val="0"/>
              <w:autoSpaceDN w:val="0"/>
              <w:adjustRightInd w:val="0"/>
              <w:ind w:right="214"/>
              <w:jc w:val="both"/>
              <w:rPr>
                <w:rFonts w:asciiTheme="majorHAnsi" w:eastAsia="Calibri" w:hAnsiTheme="majorHAnsi" w:cstheme="majorHAnsi"/>
                <w:bCs/>
                <w:sz w:val="24"/>
                <w:szCs w:val="24"/>
                <w:lang w:eastAsia="en-US"/>
              </w:rPr>
            </w:pPr>
          </w:p>
          <w:p w:rsidR="006D4B3D" w:rsidRPr="00001B6D" w:rsidRDefault="006D4B3D" w:rsidP="00FF6AF2">
            <w:pPr>
              <w:shd w:val="clear" w:color="auto" w:fill="FFFFFF"/>
              <w:ind w:right="214" w:hanging="4"/>
              <w:jc w:val="both"/>
              <w:rPr>
                <w:rFonts w:asciiTheme="majorHAnsi" w:hAnsiTheme="majorHAnsi" w:cstheme="majorHAnsi"/>
                <w:i/>
                <w:color w:val="000000"/>
                <w:sz w:val="24"/>
                <w:szCs w:val="24"/>
                <w:lang w:val="es-CO" w:eastAsia="es-CO"/>
              </w:rPr>
            </w:pPr>
            <w:r w:rsidRPr="00001B6D">
              <w:rPr>
                <w:rFonts w:asciiTheme="majorHAnsi" w:hAnsiTheme="majorHAnsi" w:cstheme="majorHAnsi"/>
                <w:i/>
                <w:color w:val="000000"/>
                <w:sz w:val="24"/>
                <w:szCs w:val="24"/>
                <w:lang w:val="es-CO" w:eastAsia="es-CO"/>
              </w:rPr>
              <w:t>“En cuanto a su definición conceptual, en la Sentencia C-650 de 2003, MP. Manuel José Cepeda, la Corte explicó que los fondos especiales ‘</w:t>
            </w:r>
            <w:r w:rsidRPr="00001B6D">
              <w:rPr>
                <w:rFonts w:asciiTheme="majorHAnsi" w:hAnsiTheme="majorHAnsi" w:cstheme="majorHAnsi"/>
                <w:i/>
                <w:iCs/>
                <w:color w:val="000000"/>
                <w:sz w:val="24"/>
                <w:szCs w:val="24"/>
                <w:u w:val="single"/>
                <w:lang w:val="es-CO" w:eastAsia="es-CO"/>
              </w:rPr>
              <w:t>son un sistema de manejo de cuentas, de acuerdo a los cuales una norma destina bienes y recursos para el cumplimiento de los objetivos contemplados en el acto de creación y cuya administración se hace en los términos en éste señalados</w:t>
            </w:r>
            <w:r w:rsidRPr="00001B6D">
              <w:rPr>
                <w:rFonts w:asciiTheme="majorHAnsi" w:hAnsiTheme="majorHAnsi" w:cstheme="majorHAnsi"/>
                <w:i/>
                <w:color w:val="000000"/>
                <w:sz w:val="24"/>
                <w:szCs w:val="24"/>
                <w:u w:val="single"/>
                <w:lang w:val="es-CO" w:eastAsia="es-CO"/>
              </w:rPr>
              <w:t>’</w:t>
            </w:r>
            <w:r w:rsidRPr="00001B6D">
              <w:rPr>
                <w:rFonts w:asciiTheme="majorHAnsi" w:hAnsiTheme="majorHAnsi" w:cstheme="majorHAnsi"/>
                <w:i/>
                <w:color w:val="000000"/>
                <w:sz w:val="24"/>
                <w:szCs w:val="24"/>
                <w:lang w:val="es-CO" w:eastAsia="es-CO"/>
              </w:rPr>
              <w:t>, cuyos recursos están comprendidos en el presupuesto de rentas nacionales.</w:t>
            </w:r>
          </w:p>
          <w:p w:rsidR="006D4B3D" w:rsidRPr="00001B6D" w:rsidRDefault="006D4B3D" w:rsidP="00FF6AF2">
            <w:pPr>
              <w:shd w:val="clear" w:color="auto" w:fill="FFFFFF"/>
              <w:ind w:right="214" w:hanging="4"/>
              <w:jc w:val="both"/>
              <w:rPr>
                <w:rFonts w:asciiTheme="majorHAnsi" w:hAnsiTheme="majorHAnsi" w:cstheme="majorHAnsi"/>
                <w:i/>
                <w:color w:val="000000"/>
                <w:sz w:val="24"/>
                <w:szCs w:val="24"/>
                <w:lang w:val="es-CO" w:eastAsia="es-CO"/>
              </w:rPr>
            </w:pPr>
            <w:r w:rsidRPr="00001B6D">
              <w:rPr>
                <w:rFonts w:asciiTheme="majorHAnsi" w:hAnsiTheme="majorHAnsi" w:cstheme="majorHAnsi"/>
                <w:i/>
                <w:color w:val="000000"/>
                <w:sz w:val="24"/>
                <w:szCs w:val="24"/>
                <w:lang w:val="es-CO" w:eastAsia="es-CO"/>
              </w:rPr>
              <w:t> </w:t>
            </w:r>
          </w:p>
          <w:p w:rsidR="006D4B3D" w:rsidRPr="00001B6D" w:rsidRDefault="006D4B3D" w:rsidP="00FF6AF2">
            <w:pPr>
              <w:shd w:val="clear" w:color="auto" w:fill="FFFFFF"/>
              <w:ind w:right="214" w:hanging="4"/>
              <w:jc w:val="both"/>
              <w:rPr>
                <w:rFonts w:asciiTheme="majorHAnsi" w:hAnsiTheme="majorHAnsi" w:cstheme="majorHAnsi"/>
                <w:i/>
                <w:color w:val="000000"/>
                <w:sz w:val="24"/>
                <w:szCs w:val="24"/>
                <w:lang w:val="es-CO" w:eastAsia="es-CO"/>
              </w:rPr>
            </w:pPr>
            <w:r w:rsidRPr="00001B6D">
              <w:rPr>
                <w:rFonts w:asciiTheme="majorHAnsi" w:hAnsiTheme="majorHAnsi" w:cstheme="majorHAnsi"/>
                <w:i/>
                <w:color w:val="000000"/>
                <w:sz w:val="24"/>
                <w:szCs w:val="24"/>
                <w:lang w:val="es-CO" w:eastAsia="es-CO"/>
              </w:rPr>
              <w:t xml:space="preserve">En aquella oportunidad la Corte también explicó que un fondo con personería jurídica no es equiparables </w:t>
            </w:r>
            <w:r w:rsidRPr="00001B6D">
              <w:rPr>
                <w:rFonts w:asciiTheme="majorHAnsi" w:hAnsiTheme="majorHAnsi" w:cstheme="majorHAnsi"/>
                <w:color w:val="000000"/>
                <w:sz w:val="24"/>
                <w:szCs w:val="24"/>
                <w:lang w:val="es-CO" w:eastAsia="es-CO"/>
              </w:rPr>
              <w:t xml:space="preserve">(sic) </w:t>
            </w:r>
            <w:r w:rsidRPr="00001B6D">
              <w:rPr>
                <w:rFonts w:asciiTheme="majorHAnsi" w:hAnsiTheme="majorHAnsi" w:cstheme="majorHAnsi"/>
                <w:i/>
                <w:color w:val="000000"/>
                <w:sz w:val="24"/>
                <w:szCs w:val="24"/>
                <w:lang w:val="es-CO" w:eastAsia="es-CO"/>
              </w:rPr>
              <w:t xml:space="preserve">a </w:t>
            </w:r>
            <w:r w:rsidRPr="00001B6D">
              <w:rPr>
                <w:rFonts w:asciiTheme="majorHAnsi" w:hAnsiTheme="majorHAnsi" w:cstheme="majorHAnsi"/>
                <w:i/>
                <w:color w:val="000000"/>
                <w:sz w:val="24"/>
                <w:szCs w:val="24"/>
                <w:u w:val="single"/>
                <w:lang w:val="es-CO" w:eastAsia="es-CO"/>
              </w:rPr>
              <w:t>un fondo especial que constituyen una cuenta (sin personería jurídica)</w:t>
            </w:r>
            <w:r w:rsidRPr="00001B6D">
              <w:rPr>
                <w:rFonts w:asciiTheme="majorHAnsi" w:hAnsiTheme="majorHAnsi" w:cstheme="majorHAnsi"/>
                <w:i/>
                <w:color w:val="000000"/>
                <w:sz w:val="24"/>
                <w:szCs w:val="24"/>
                <w:lang w:val="es-CO" w:eastAsia="es-CO"/>
              </w:rPr>
              <w:t>. De esta manera, el primero se asimila a una entidad de naturaleza pública que hace parte de la administración pública y por tanto modifica su estructura, mientras el segundo se refiere al sistema de manejo de recursos y por lo tanto no tiene personería jurídica. No obstante, un </w:t>
            </w:r>
            <w:r w:rsidRPr="00001B6D">
              <w:rPr>
                <w:rFonts w:asciiTheme="majorHAnsi" w:hAnsiTheme="majorHAnsi" w:cstheme="majorHAnsi"/>
                <w:i/>
                <w:iCs/>
                <w:color w:val="000000"/>
                <w:sz w:val="24"/>
                <w:szCs w:val="24"/>
                <w:lang w:val="es-CO" w:eastAsia="es-CO"/>
              </w:rPr>
              <w:t>fondo-entidad</w:t>
            </w:r>
            <w:r w:rsidRPr="00001B6D">
              <w:rPr>
                <w:rFonts w:asciiTheme="majorHAnsi" w:hAnsiTheme="majorHAnsi" w:cstheme="majorHAnsi"/>
                <w:i/>
                <w:color w:val="000000"/>
                <w:sz w:val="24"/>
                <w:szCs w:val="24"/>
                <w:lang w:val="es-CO" w:eastAsia="es-CO"/>
              </w:rPr>
              <w:t> puede tener dentro de sus funciones la administración de un </w:t>
            </w:r>
            <w:r w:rsidRPr="00001B6D">
              <w:rPr>
                <w:rFonts w:asciiTheme="majorHAnsi" w:hAnsiTheme="majorHAnsi" w:cstheme="majorHAnsi"/>
                <w:i/>
                <w:iCs/>
                <w:color w:val="000000"/>
                <w:sz w:val="24"/>
                <w:szCs w:val="24"/>
                <w:lang w:val="es-CO" w:eastAsia="es-CO"/>
              </w:rPr>
              <w:t>fondo-cuenta</w:t>
            </w:r>
            <w:r w:rsidRPr="00001B6D">
              <w:rPr>
                <w:rFonts w:asciiTheme="majorHAnsi" w:hAnsiTheme="majorHAnsi" w:cstheme="majorHAnsi"/>
                <w:i/>
                <w:color w:val="000000"/>
                <w:sz w:val="24"/>
                <w:szCs w:val="24"/>
                <w:lang w:val="es-CO" w:eastAsia="es-CO"/>
              </w:rPr>
              <w:t>.</w:t>
            </w:r>
          </w:p>
          <w:p w:rsidR="006D4B3D" w:rsidRPr="00001B6D" w:rsidRDefault="006D4B3D" w:rsidP="00FF6AF2">
            <w:pPr>
              <w:shd w:val="clear" w:color="auto" w:fill="FFFFFF"/>
              <w:ind w:right="214" w:hanging="4"/>
              <w:jc w:val="both"/>
              <w:rPr>
                <w:rFonts w:asciiTheme="majorHAnsi" w:hAnsiTheme="majorHAnsi" w:cstheme="majorHAnsi"/>
                <w:i/>
                <w:color w:val="000000"/>
                <w:sz w:val="24"/>
                <w:szCs w:val="24"/>
                <w:lang w:val="es-CO" w:eastAsia="es-CO"/>
              </w:rPr>
            </w:pPr>
            <w:r w:rsidRPr="00001B6D">
              <w:rPr>
                <w:rFonts w:asciiTheme="majorHAnsi" w:hAnsiTheme="majorHAnsi" w:cstheme="majorHAnsi"/>
                <w:i/>
                <w:color w:val="000000"/>
                <w:sz w:val="24"/>
                <w:szCs w:val="24"/>
                <w:lang w:val="es-CO" w:eastAsia="es-CO"/>
              </w:rPr>
              <w:t> </w:t>
            </w:r>
          </w:p>
          <w:p w:rsidR="006D4B3D" w:rsidRPr="00001B6D" w:rsidRDefault="006D4B3D" w:rsidP="00FF6AF2">
            <w:pPr>
              <w:shd w:val="clear" w:color="auto" w:fill="FFFFFF"/>
              <w:ind w:right="214" w:hanging="4"/>
              <w:jc w:val="both"/>
              <w:rPr>
                <w:rFonts w:asciiTheme="majorHAnsi" w:hAnsiTheme="majorHAnsi" w:cstheme="majorHAnsi"/>
                <w:i/>
                <w:color w:val="000000"/>
                <w:sz w:val="24"/>
                <w:szCs w:val="24"/>
                <w:lang w:val="es-CO" w:eastAsia="es-CO"/>
              </w:rPr>
            </w:pPr>
            <w:r w:rsidRPr="00001B6D">
              <w:rPr>
                <w:rFonts w:asciiTheme="majorHAnsi" w:hAnsiTheme="majorHAnsi" w:cstheme="majorHAnsi"/>
                <w:i/>
                <w:color w:val="000000"/>
                <w:sz w:val="24"/>
                <w:szCs w:val="24"/>
                <w:lang w:val="es-CO" w:eastAsia="es-CO"/>
              </w:rPr>
              <w:t xml:space="preserve">(…) </w:t>
            </w:r>
            <w:r w:rsidRPr="00001B6D">
              <w:rPr>
                <w:rFonts w:asciiTheme="majorHAnsi" w:hAnsiTheme="majorHAnsi" w:cstheme="majorHAnsi"/>
                <w:i/>
                <w:iCs/>
                <w:color w:val="2D2D2D"/>
                <w:sz w:val="24"/>
                <w:szCs w:val="24"/>
                <w:lang w:val="es-CO" w:eastAsia="es-CO"/>
              </w:rPr>
              <w:t xml:space="preserve"> los fondos mixtos tienen personería jurídica propia y por lo tanto no son asimilables a una cuenta. Así mismo, la Ley 814 de 2003 (por la cual se dictan normas para el fomento de la actividad cinematográfica en Colombia) es muestra clara de la diferencia entre el fondo–cuenta y el fondo–entidad, pues crea una “cuenta especial” llamada “Fondo para el desarrollo cinematográfico” </w:t>
            </w:r>
            <w:r w:rsidRPr="00001B6D">
              <w:rPr>
                <w:rFonts w:asciiTheme="majorHAnsi" w:hAnsiTheme="majorHAnsi" w:cstheme="majorHAnsi"/>
                <w:i/>
                <w:iCs/>
                <w:color w:val="2D2D2D"/>
                <w:sz w:val="24"/>
                <w:szCs w:val="24"/>
                <w:u w:val="single"/>
                <w:lang w:val="es-CO" w:eastAsia="es-CO"/>
              </w:rPr>
              <w:t xml:space="preserve">el cual es administrado “mediante contrato que </w:t>
            </w:r>
            <w:r w:rsidRPr="00001B6D">
              <w:rPr>
                <w:rFonts w:asciiTheme="majorHAnsi" w:hAnsiTheme="majorHAnsi" w:cstheme="majorHAnsi"/>
                <w:i/>
                <w:iCs/>
                <w:color w:val="2D2D2D"/>
                <w:sz w:val="24"/>
                <w:szCs w:val="24"/>
                <w:u w:val="single"/>
                <w:lang w:val="es-CO" w:eastAsia="es-CO"/>
              </w:rPr>
              <w:lastRenderedPageBreak/>
              <w:t>celebre el Ministerio de Cultura con el Fondo Mixto de Promoción Cinematográfica”</w:t>
            </w:r>
            <w:r w:rsidRPr="00001B6D">
              <w:rPr>
                <w:rFonts w:asciiTheme="majorHAnsi" w:hAnsiTheme="majorHAnsi" w:cstheme="majorHAnsi"/>
                <w:i/>
                <w:iCs/>
                <w:color w:val="2D2D2D"/>
                <w:sz w:val="24"/>
                <w:szCs w:val="24"/>
                <w:lang w:val="es-CO" w:eastAsia="es-CO"/>
              </w:rPr>
              <w:t xml:space="preserve"> (artículos 9 y 10 de la Ley 814 de 2003). </w:t>
            </w:r>
            <w:r w:rsidRPr="00001B6D">
              <w:rPr>
                <w:rFonts w:asciiTheme="majorHAnsi" w:hAnsiTheme="majorHAnsi" w:cstheme="majorHAnsi"/>
                <w:i/>
                <w:iCs/>
                <w:color w:val="2D2D2D"/>
                <w:sz w:val="24"/>
                <w:szCs w:val="24"/>
                <w:u w:val="single"/>
                <w:lang w:val="es-CO" w:eastAsia="es-CO"/>
              </w:rPr>
              <w:t>Se observa entonces que el fondo mixto es una entidad que puede tener dentro de sus funciones la administración de un fondo–cuenta como el mencionado. (…)”</w:t>
            </w:r>
            <w:r w:rsidRPr="00001B6D">
              <w:rPr>
                <w:rStyle w:val="Refdenotaalpie"/>
                <w:rFonts w:asciiTheme="majorHAnsi" w:hAnsiTheme="majorHAnsi" w:cstheme="majorHAnsi"/>
                <w:iCs/>
                <w:color w:val="2D2D2D"/>
                <w:sz w:val="24"/>
                <w:szCs w:val="24"/>
                <w:lang w:val="es-CO" w:eastAsia="es-CO"/>
              </w:rPr>
              <w:footnoteReference w:id="1"/>
            </w:r>
            <w:r w:rsidRPr="00001B6D">
              <w:rPr>
                <w:rFonts w:asciiTheme="majorHAnsi" w:hAnsiTheme="majorHAnsi" w:cstheme="majorHAnsi"/>
                <w:i/>
                <w:iCs/>
                <w:color w:val="2D2D2D"/>
                <w:sz w:val="24"/>
                <w:szCs w:val="24"/>
                <w:lang w:val="es-CO" w:eastAsia="es-CO"/>
              </w:rPr>
              <w:t xml:space="preserve"> </w:t>
            </w:r>
            <w:r w:rsidRPr="00001B6D">
              <w:rPr>
                <w:rFonts w:asciiTheme="majorHAnsi" w:hAnsiTheme="majorHAnsi" w:cstheme="majorHAnsi"/>
                <w:iCs/>
                <w:color w:val="2D2D2D"/>
                <w:sz w:val="24"/>
                <w:szCs w:val="24"/>
                <w:lang w:val="es-CO" w:eastAsia="es-CO"/>
              </w:rPr>
              <w:t xml:space="preserve">(Subrayado fuera del texto). </w:t>
            </w:r>
          </w:p>
          <w:p w:rsidR="006D4B3D" w:rsidRPr="00001B6D" w:rsidRDefault="006D4B3D" w:rsidP="008B71FC">
            <w:pPr>
              <w:autoSpaceDE w:val="0"/>
              <w:autoSpaceDN w:val="0"/>
              <w:adjustRightInd w:val="0"/>
              <w:ind w:right="214"/>
              <w:jc w:val="both"/>
              <w:rPr>
                <w:rFonts w:asciiTheme="majorHAnsi" w:eastAsia="Calibri" w:hAnsiTheme="majorHAnsi" w:cstheme="majorHAnsi"/>
                <w:bCs/>
                <w:i/>
                <w:sz w:val="24"/>
                <w:szCs w:val="24"/>
                <w:lang w:eastAsia="en-US"/>
              </w:rPr>
            </w:pPr>
          </w:p>
          <w:p w:rsidR="006D4B3D" w:rsidRPr="00001B6D" w:rsidRDefault="006D4B3D" w:rsidP="008B71FC">
            <w:pPr>
              <w:autoSpaceDE w:val="0"/>
              <w:autoSpaceDN w:val="0"/>
              <w:adjustRightInd w:val="0"/>
              <w:ind w:right="214"/>
              <w:jc w:val="both"/>
              <w:rPr>
                <w:rFonts w:asciiTheme="majorHAnsi" w:eastAsia="Calibri" w:hAnsiTheme="majorHAnsi" w:cstheme="majorHAnsi"/>
                <w:bCs/>
                <w:sz w:val="24"/>
                <w:szCs w:val="24"/>
                <w:lang w:val="es-CO" w:eastAsia="en-US"/>
              </w:rPr>
            </w:pPr>
            <w:r w:rsidRPr="00001B6D">
              <w:rPr>
                <w:rFonts w:asciiTheme="majorHAnsi" w:eastAsia="Calibri" w:hAnsiTheme="majorHAnsi" w:cstheme="majorHAnsi"/>
                <w:bCs/>
                <w:sz w:val="24"/>
                <w:szCs w:val="24"/>
                <w:lang w:eastAsia="en-US"/>
              </w:rPr>
              <w:t>Para proceder a la conformación y puesta en funcionamiento de</w:t>
            </w:r>
            <w:r w:rsidR="00FF6AF2" w:rsidRPr="00001B6D">
              <w:rPr>
                <w:rFonts w:asciiTheme="majorHAnsi" w:eastAsia="Calibri" w:hAnsiTheme="majorHAnsi" w:cstheme="majorHAnsi"/>
                <w:bCs/>
                <w:sz w:val="24"/>
                <w:szCs w:val="24"/>
                <w:lang w:eastAsia="en-US"/>
              </w:rPr>
              <w:t>l “</w:t>
            </w:r>
            <w:r w:rsidR="00FF6AF2" w:rsidRPr="00001B6D">
              <w:rPr>
                <w:rFonts w:asciiTheme="majorHAnsi" w:eastAsia="Calibri" w:hAnsiTheme="majorHAnsi" w:cstheme="majorHAnsi"/>
                <w:bCs/>
                <w:sz w:val="24"/>
                <w:szCs w:val="24"/>
                <w:lang w:val="es-CO" w:eastAsia="en-US"/>
              </w:rPr>
              <w:t>Fondo Bucaramanga 400 años</w:t>
            </w:r>
            <w:r w:rsidR="0014379E" w:rsidRPr="00001B6D">
              <w:rPr>
                <w:rFonts w:asciiTheme="majorHAnsi" w:eastAsia="Calibri" w:hAnsiTheme="majorHAnsi" w:cstheme="majorHAnsi"/>
                <w:bCs/>
                <w:sz w:val="24"/>
                <w:szCs w:val="24"/>
                <w:lang w:val="es-CO" w:eastAsia="en-US"/>
              </w:rPr>
              <w:t>”,</w:t>
            </w:r>
            <w:r w:rsidR="00FF6AF2" w:rsidRPr="00001B6D">
              <w:rPr>
                <w:rFonts w:asciiTheme="majorHAnsi" w:eastAsia="Calibri" w:hAnsiTheme="majorHAnsi" w:cstheme="majorHAnsi"/>
                <w:bCs/>
                <w:sz w:val="24"/>
                <w:szCs w:val="24"/>
                <w:lang w:val="es-CO" w:eastAsia="en-US"/>
              </w:rPr>
              <w:t xml:space="preserve"> </w:t>
            </w:r>
            <w:r w:rsidRPr="00001B6D">
              <w:rPr>
                <w:rFonts w:asciiTheme="majorHAnsi" w:eastAsia="Calibri" w:hAnsiTheme="majorHAnsi" w:cstheme="majorHAnsi"/>
                <w:bCs/>
                <w:sz w:val="24"/>
                <w:szCs w:val="24"/>
                <w:lang w:eastAsia="en-US"/>
              </w:rPr>
              <w:t>el proyecto de decreto define</w:t>
            </w:r>
            <w:r w:rsidR="0014379E" w:rsidRPr="00001B6D">
              <w:rPr>
                <w:rFonts w:asciiTheme="majorHAnsi" w:eastAsia="Calibri" w:hAnsiTheme="majorHAnsi" w:cstheme="majorHAnsi"/>
                <w:bCs/>
                <w:sz w:val="24"/>
                <w:szCs w:val="24"/>
                <w:lang w:eastAsia="en-US"/>
              </w:rPr>
              <w:t xml:space="preserve"> los</w:t>
            </w:r>
            <w:r w:rsidRPr="00001B6D">
              <w:rPr>
                <w:rFonts w:asciiTheme="majorHAnsi" w:eastAsia="Calibri" w:hAnsiTheme="majorHAnsi" w:cstheme="majorHAnsi"/>
                <w:bCs/>
                <w:sz w:val="24"/>
                <w:szCs w:val="24"/>
                <w:lang w:eastAsia="en-US"/>
              </w:rPr>
              <w:t xml:space="preserve"> </w:t>
            </w:r>
            <w:r w:rsidR="0014379E" w:rsidRPr="00001B6D">
              <w:rPr>
                <w:rFonts w:asciiTheme="majorHAnsi" w:eastAsia="Calibri" w:hAnsiTheme="majorHAnsi" w:cstheme="majorHAnsi"/>
                <w:bCs/>
                <w:sz w:val="24"/>
                <w:szCs w:val="24"/>
                <w:lang w:eastAsia="en-US"/>
              </w:rPr>
              <w:t>elementos esenciales para el funcionamiento del mismo, tal y como la elaboración de un Plan de Inversiones, así como alusión a los gastos operativos y la administración de los recursos, asunto que tienen que establecerse a propósito de la vigencia transitoria del mencionado instrumento sin personería jurídica, el cual tiene prevista una vigencia hasta el 31 de diciembre de 2022, tal y como está contemplado en la Ley de creación</w:t>
            </w:r>
            <w:r w:rsidRPr="00001B6D">
              <w:rPr>
                <w:rFonts w:asciiTheme="majorHAnsi" w:eastAsia="Calibri" w:hAnsiTheme="majorHAnsi" w:cstheme="majorHAnsi"/>
                <w:bCs/>
                <w:sz w:val="24"/>
                <w:szCs w:val="24"/>
                <w:lang w:eastAsia="en-US"/>
              </w:rPr>
              <w:t xml:space="preserve">. </w:t>
            </w:r>
          </w:p>
          <w:p w:rsidR="006D4B3D" w:rsidRPr="00001B6D" w:rsidRDefault="006D4B3D" w:rsidP="008B71FC">
            <w:pPr>
              <w:autoSpaceDE w:val="0"/>
              <w:autoSpaceDN w:val="0"/>
              <w:adjustRightInd w:val="0"/>
              <w:ind w:right="214"/>
              <w:jc w:val="both"/>
              <w:rPr>
                <w:rFonts w:asciiTheme="majorHAnsi" w:eastAsia="Calibri" w:hAnsiTheme="majorHAnsi" w:cstheme="majorHAnsi"/>
                <w:bCs/>
                <w:sz w:val="24"/>
                <w:szCs w:val="24"/>
                <w:lang w:eastAsia="en-US"/>
              </w:rPr>
            </w:pPr>
          </w:p>
          <w:p w:rsidR="0014379E" w:rsidRDefault="006D4B3D" w:rsidP="008B71FC">
            <w:pPr>
              <w:autoSpaceDE w:val="0"/>
              <w:autoSpaceDN w:val="0"/>
              <w:adjustRightInd w:val="0"/>
              <w:ind w:right="214"/>
              <w:jc w:val="both"/>
              <w:rPr>
                <w:rFonts w:asciiTheme="majorHAnsi" w:eastAsia="Calibri" w:hAnsiTheme="majorHAnsi" w:cstheme="majorHAnsi"/>
                <w:bCs/>
                <w:sz w:val="24"/>
                <w:szCs w:val="24"/>
                <w:lang w:eastAsia="en-US"/>
              </w:rPr>
            </w:pPr>
            <w:r w:rsidRPr="00001B6D">
              <w:rPr>
                <w:rFonts w:asciiTheme="majorHAnsi" w:eastAsia="Calibri" w:hAnsiTheme="majorHAnsi" w:cstheme="majorHAnsi"/>
                <w:bCs/>
                <w:sz w:val="24"/>
                <w:szCs w:val="24"/>
                <w:lang w:eastAsia="en-US"/>
              </w:rPr>
              <w:t xml:space="preserve">La Ley prevé que, entre otras, son fuentes de financiación del Fondo los </w:t>
            </w:r>
            <w:r w:rsidR="0014379E" w:rsidRPr="00001B6D">
              <w:rPr>
                <w:rFonts w:asciiTheme="majorHAnsi" w:eastAsia="Calibri" w:hAnsiTheme="majorHAnsi" w:cstheme="majorHAnsi"/>
                <w:bCs/>
                <w:sz w:val="24"/>
                <w:szCs w:val="24"/>
                <w:lang w:eastAsia="en-US"/>
              </w:rPr>
              <w:t xml:space="preserve">siguientes </w:t>
            </w:r>
            <w:r w:rsidRPr="00001B6D">
              <w:rPr>
                <w:rFonts w:asciiTheme="majorHAnsi" w:eastAsia="Calibri" w:hAnsiTheme="majorHAnsi" w:cstheme="majorHAnsi"/>
                <w:bCs/>
                <w:sz w:val="24"/>
                <w:szCs w:val="24"/>
                <w:lang w:eastAsia="en-US"/>
              </w:rPr>
              <w:t>recursos</w:t>
            </w:r>
            <w:r w:rsidR="0014379E" w:rsidRPr="00001B6D">
              <w:rPr>
                <w:rFonts w:asciiTheme="majorHAnsi" w:eastAsia="Calibri" w:hAnsiTheme="majorHAnsi" w:cstheme="majorHAnsi"/>
                <w:bCs/>
                <w:sz w:val="24"/>
                <w:szCs w:val="24"/>
                <w:lang w:eastAsia="en-US"/>
              </w:rPr>
              <w:t xml:space="preserve">: </w:t>
            </w:r>
          </w:p>
          <w:p w:rsidR="00EF76D8" w:rsidRPr="00001B6D" w:rsidRDefault="00EF76D8" w:rsidP="006F4A83">
            <w:pPr>
              <w:tabs>
                <w:tab w:val="left" w:pos="10345"/>
                <w:tab w:val="left" w:pos="10486"/>
              </w:tabs>
              <w:autoSpaceDE w:val="0"/>
              <w:autoSpaceDN w:val="0"/>
              <w:adjustRightInd w:val="0"/>
              <w:ind w:right="214"/>
              <w:jc w:val="both"/>
              <w:rPr>
                <w:rFonts w:asciiTheme="majorHAnsi" w:eastAsia="Calibri" w:hAnsiTheme="majorHAnsi" w:cstheme="majorHAnsi"/>
                <w:bCs/>
                <w:sz w:val="24"/>
                <w:szCs w:val="24"/>
                <w:lang w:eastAsia="en-US"/>
              </w:rPr>
            </w:pPr>
          </w:p>
          <w:p w:rsidR="0014379E" w:rsidRPr="00001B6D" w:rsidRDefault="0014379E" w:rsidP="006F4A83">
            <w:pPr>
              <w:pStyle w:val="NormalWeb"/>
              <w:tabs>
                <w:tab w:val="left" w:pos="10345"/>
                <w:tab w:val="left" w:pos="10486"/>
              </w:tabs>
              <w:spacing w:before="0" w:beforeAutospacing="0" w:after="0" w:afterAutospacing="0" w:line="254" w:lineRule="atLeast"/>
              <w:jc w:val="both"/>
              <w:rPr>
                <w:rFonts w:asciiTheme="majorHAnsi" w:hAnsiTheme="majorHAnsi" w:cstheme="majorHAnsi"/>
                <w:color w:val="000000"/>
              </w:rPr>
            </w:pPr>
            <w:r w:rsidRPr="00001B6D">
              <w:rPr>
                <w:rFonts w:asciiTheme="majorHAnsi" w:hAnsiTheme="majorHAnsi" w:cstheme="majorHAnsi"/>
                <w:color w:val="000000"/>
              </w:rPr>
              <w:t>1. Recursos que se le asignen en el Presupuesto General de la Nación. 2. Recursos que se le asignen del Presupuesto de la Gobernación de Santander y de la Alcaldía de Bucaramanga. 3. Recursos que el Ministerio de Cultura designe para la finalidad señalada. 4. Recursos que otras entidades nacionales destinen para la conmemoración de los cuatrocientos (400) años de la fundación de Bucaramanga a través de los convenios interadministrativos con el Ministerio de Cultura. 5. Aportes de Cooperación Internacional. 6. Donaciones, transferencias o aportes en dinero que reciba. 7. De los ingresos obtenidos por la estampilla de que trata el artículo 6° de la presente ley. Para las vigencias de 2021 y 2022 se harán las asignaciones presupuestales necesarias para el funcionamiento del fondo-cuenta. </w:t>
            </w:r>
          </w:p>
          <w:p w:rsidR="0014379E" w:rsidRPr="00001B6D" w:rsidRDefault="0014379E" w:rsidP="008B71FC">
            <w:pPr>
              <w:autoSpaceDE w:val="0"/>
              <w:autoSpaceDN w:val="0"/>
              <w:adjustRightInd w:val="0"/>
              <w:ind w:right="214"/>
              <w:jc w:val="both"/>
              <w:rPr>
                <w:rFonts w:asciiTheme="majorHAnsi" w:eastAsia="Calibri" w:hAnsiTheme="majorHAnsi" w:cstheme="majorHAnsi"/>
                <w:bCs/>
                <w:sz w:val="24"/>
                <w:szCs w:val="24"/>
                <w:lang w:eastAsia="en-US"/>
              </w:rPr>
            </w:pPr>
            <w:r w:rsidRPr="00001B6D">
              <w:rPr>
                <w:rFonts w:asciiTheme="majorHAnsi" w:eastAsia="Calibri" w:hAnsiTheme="majorHAnsi" w:cstheme="majorHAnsi"/>
                <w:bCs/>
                <w:sz w:val="24"/>
                <w:szCs w:val="24"/>
                <w:lang w:eastAsia="en-US"/>
              </w:rPr>
              <w:t xml:space="preserve"> </w:t>
            </w:r>
          </w:p>
          <w:p w:rsidR="006D4B3D" w:rsidRPr="00001B6D" w:rsidRDefault="00303B04"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001B6D">
              <w:rPr>
                <w:rFonts w:asciiTheme="majorHAnsi" w:hAnsiTheme="majorHAnsi" w:cstheme="majorHAnsi"/>
                <w:color w:val="000000"/>
                <w:sz w:val="24"/>
                <w:szCs w:val="24"/>
                <w:lang w:val="es-CO" w:eastAsia="es-CO"/>
              </w:rPr>
              <w:t xml:space="preserve">De la misma manera, </w:t>
            </w:r>
            <w:r w:rsidR="006D4B3D" w:rsidRPr="00001B6D">
              <w:rPr>
                <w:rFonts w:asciiTheme="majorHAnsi" w:hAnsiTheme="majorHAnsi" w:cstheme="majorHAnsi"/>
                <w:color w:val="000000"/>
                <w:sz w:val="24"/>
                <w:szCs w:val="24"/>
                <w:lang w:val="es-CO" w:eastAsia="es-CO"/>
              </w:rPr>
              <w:t>el proyecto normativo señala las condiciones para</w:t>
            </w:r>
            <w:r w:rsidRPr="00001B6D">
              <w:rPr>
                <w:rFonts w:asciiTheme="majorHAnsi" w:hAnsiTheme="majorHAnsi" w:cstheme="majorHAnsi"/>
                <w:color w:val="000000"/>
                <w:sz w:val="24"/>
                <w:szCs w:val="24"/>
                <w:lang w:val="es-CO" w:eastAsia="es-CO"/>
              </w:rPr>
              <w:t xml:space="preserve"> que los</w:t>
            </w:r>
            <w:r w:rsidR="006D4B3D" w:rsidRPr="00001B6D">
              <w:rPr>
                <w:rFonts w:asciiTheme="majorHAnsi" w:hAnsiTheme="majorHAnsi" w:cstheme="majorHAnsi"/>
                <w:color w:val="000000"/>
                <w:sz w:val="24"/>
                <w:szCs w:val="24"/>
                <w:lang w:val="es-CO" w:eastAsia="es-CO"/>
              </w:rPr>
              <w:t xml:space="preserve"> recursos</w:t>
            </w:r>
            <w:r w:rsidRPr="00001B6D">
              <w:rPr>
                <w:rFonts w:asciiTheme="majorHAnsi" w:hAnsiTheme="majorHAnsi" w:cstheme="majorHAnsi"/>
                <w:color w:val="000000"/>
                <w:sz w:val="24"/>
                <w:szCs w:val="24"/>
                <w:lang w:val="es-CO" w:eastAsia="es-CO"/>
              </w:rPr>
              <w:t xml:space="preserve"> públicos definidos en la presente Ley en el artículo 7°,</w:t>
            </w:r>
            <w:r w:rsidR="006D4B3D" w:rsidRPr="00001B6D">
              <w:rPr>
                <w:rFonts w:asciiTheme="majorHAnsi" w:hAnsiTheme="majorHAnsi" w:cstheme="majorHAnsi"/>
                <w:color w:val="000000"/>
                <w:sz w:val="24"/>
                <w:szCs w:val="24"/>
                <w:lang w:val="es-CO" w:eastAsia="es-CO"/>
              </w:rPr>
              <w:t xml:space="preserve"> ingresen a</w:t>
            </w:r>
            <w:r w:rsidRPr="00001B6D">
              <w:rPr>
                <w:rFonts w:asciiTheme="majorHAnsi" w:hAnsiTheme="majorHAnsi" w:cstheme="majorHAnsi"/>
                <w:color w:val="000000"/>
                <w:sz w:val="24"/>
                <w:szCs w:val="24"/>
                <w:lang w:val="es-CO" w:eastAsia="es-CO"/>
              </w:rPr>
              <w:t>l presente Fondo Cuenta.</w:t>
            </w:r>
          </w:p>
          <w:p w:rsidR="006D4B3D" w:rsidRPr="00001B6D" w:rsidRDefault="006D4B3D"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rsidR="006D4B3D" w:rsidRDefault="00303B04"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001B6D">
              <w:rPr>
                <w:rFonts w:asciiTheme="majorHAnsi" w:hAnsiTheme="majorHAnsi" w:cstheme="majorHAnsi"/>
                <w:color w:val="000000"/>
                <w:sz w:val="24"/>
                <w:szCs w:val="24"/>
                <w:lang w:val="es-CO" w:eastAsia="es-CO"/>
              </w:rPr>
              <w:t>Adicionalmente, lo relativo a la Plan de Inversiones a 10 años de que habla el artículo 4° de la Ley</w:t>
            </w:r>
            <w:r w:rsidR="00F3295E" w:rsidRPr="00001B6D">
              <w:rPr>
                <w:rFonts w:asciiTheme="majorHAnsi" w:hAnsiTheme="majorHAnsi" w:cstheme="majorHAnsi"/>
                <w:color w:val="000000"/>
                <w:sz w:val="24"/>
                <w:szCs w:val="24"/>
                <w:lang w:val="es-CO" w:eastAsia="es-CO"/>
              </w:rPr>
              <w:t xml:space="preserve"> 2062 de 2020</w:t>
            </w:r>
            <w:r w:rsidRPr="00001B6D">
              <w:rPr>
                <w:rFonts w:asciiTheme="majorHAnsi" w:hAnsiTheme="majorHAnsi" w:cstheme="majorHAnsi"/>
                <w:color w:val="000000"/>
                <w:sz w:val="24"/>
                <w:szCs w:val="24"/>
                <w:lang w:val="es-CO" w:eastAsia="es-CO"/>
              </w:rPr>
              <w:t>, no son objeto de la presente reglamentación, frente a la cual se debe estudiar la pert</w:t>
            </w:r>
            <w:r w:rsidR="00F3295E" w:rsidRPr="00001B6D">
              <w:rPr>
                <w:rFonts w:asciiTheme="majorHAnsi" w:hAnsiTheme="majorHAnsi" w:cstheme="majorHAnsi"/>
                <w:color w:val="000000"/>
                <w:sz w:val="24"/>
                <w:szCs w:val="24"/>
                <w:lang w:val="es-CO" w:eastAsia="es-CO"/>
              </w:rPr>
              <w:t xml:space="preserve">inencia de una reglamentación adicional, que tenga por objeto dejar reglas de seguimiento y ejecución frente a los recursos que se inviertan desde las diferentes entidades del Gobierno Nacional, conforme al Plan de Inversiones que se encuentra estipulado en la mencionada Ley. </w:t>
            </w:r>
            <w:r w:rsidRPr="00001B6D">
              <w:rPr>
                <w:rFonts w:asciiTheme="majorHAnsi" w:hAnsiTheme="majorHAnsi" w:cstheme="majorHAnsi"/>
                <w:color w:val="000000"/>
                <w:sz w:val="24"/>
                <w:szCs w:val="24"/>
                <w:lang w:val="es-CO" w:eastAsia="es-CO"/>
              </w:rPr>
              <w:t xml:space="preserve"> </w:t>
            </w:r>
          </w:p>
          <w:p w:rsidR="00837453" w:rsidRDefault="00837453"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rsidR="00837453" w:rsidRPr="007945A7" w:rsidRDefault="00837453"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bookmarkStart w:id="0" w:name="_GoBack"/>
            <w:bookmarkEnd w:id="0"/>
            <w:r w:rsidRPr="007945A7">
              <w:rPr>
                <w:rFonts w:asciiTheme="majorHAnsi" w:hAnsiTheme="majorHAnsi" w:cstheme="majorHAnsi"/>
                <w:color w:val="000000"/>
                <w:sz w:val="24"/>
                <w:szCs w:val="24"/>
                <w:lang w:val="es-CO" w:eastAsia="es-CO"/>
              </w:rPr>
              <w:t xml:space="preserve">En lo que atañe a la publicación del proyecto de Decreto, el mismo se debe publicar conforme a las reglas consignadas para estos efectos en el Decreto 1081 de 2015 en su artículo </w:t>
            </w:r>
            <w:r w:rsidRPr="007945A7">
              <w:rPr>
                <w:rFonts w:asciiTheme="majorHAnsi" w:hAnsiTheme="majorHAnsi" w:cstheme="majorHAnsi"/>
                <w:color w:val="000000"/>
                <w:sz w:val="24"/>
                <w:szCs w:val="24"/>
                <w:lang w:val="es-CO" w:eastAsia="es-CO"/>
              </w:rPr>
              <w:t>2.1.2.1.14</w:t>
            </w:r>
            <w:r w:rsidRPr="007945A7">
              <w:rPr>
                <w:rFonts w:asciiTheme="majorHAnsi" w:hAnsiTheme="majorHAnsi" w:cstheme="majorHAnsi"/>
                <w:color w:val="000000"/>
                <w:sz w:val="24"/>
                <w:szCs w:val="24"/>
                <w:lang w:val="es-CO" w:eastAsia="es-CO"/>
              </w:rPr>
              <w:t xml:space="preserve">, que establece como regla general que el acto administrativo que se deba publicar </w:t>
            </w:r>
            <w:r w:rsidR="00EF76D8" w:rsidRPr="007945A7">
              <w:rPr>
                <w:rFonts w:asciiTheme="majorHAnsi" w:hAnsiTheme="majorHAnsi" w:cstheme="majorHAnsi"/>
                <w:color w:val="000000"/>
                <w:sz w:val="24"/>
                <w:szCs w:val="24"/>
                <w:lang w:val="es-CO" w:eastAsia="es-CO"/>
              </w:rPr>
              <w:t>cumpla</w:t>
            </w:r>
            <w:r w:rsidRPr="007945A7">
              <w:rPr>
                <w:rFonts w:asciiTheme="majorHAnsi" w:hAnsiTheme="majorHAnsi" w:cstheme="majorHAnsi"/>
                <w:color w:val="000000"/>
                <w:sz w:val="24"/>
                <w:szCs w:val="24"/>
                <w:lang w:val="es-CO" w:eastAsia="es-CO"/>
              </w:rPr>
              <w:t xml:space="preserve"> con unos términos de “</w:t>
            </w:r>
            <w:r w:rsidRPr="007945A7">
              <w:rPr>
                <w:rFonts w:asciiTheme="majorHAnsi" w:hAnsiTheme="majorHAnsi" w:cstheme="majorHAnsi"/>
                <w:color w:val="000000"/>
                <w:sz w:val="24"/>
                <w:szCs w:val="24"/>
                <w:lang w:val="es-CO" w:eastAsia="es-CO"/>
              </w:rPr>
              <w:t>por lo menos quince (15) días calendario, antes de ser remitidos a la Secretaría Jurídica de la Presidencia de la República</w:t>
            </w:r>
            <w:r w:rsidR="00EF76D8" w:rsidRPr="007945A7">
              <w:rPr>
                <w:rFonts w:asciiTheme="majorHAnsi" w:hAnsiTheme="majorHAnsi" w:cstheme="majorHAnsi"/>
                <w:color w:val="000000"/>
                <w:sz w:val="24"/>
                <w:szCs w:val="24"/>
                <w:lang w:val="es-CO" w:eastAsia="es-CO"/>
              </w:rPr>
              <w:t>.”</w:t>
            </w:r>
            <w:r w:rsidRPr="007945A7">
              <w:rPr>
                <w:rFonts w:asciiTheme="majorHAnsi" w:hAnsiTheme="majorHAnsi" w:cstheme="majorHAnsi"/>
                <w:color w:val="000000"/>
                <w:sz w:val="24"/>
                <w:szCs w:val="24"/>
                <w:lang w:val="es-CO" w:eastAsia="es-CO"/>
              </w:rPr>
              <w:t>.</w:t>
            </w:r>
            <w:r w:rsidRPr="007945A7">
              <w:rPr>
                <w:rFonts w:asciiTheme="majorHAnsi" w:hAnsiTheme="majorHAnsi" w:cstheme="majorHAnsi"/>
                <w:color w:val="000000"/>
                <w:sz w:val="24"/>
                <w:szCs w:val="24"/>
                <w:lang w:val="es-CO" w:eastAsia="es-CO"/>
              </w:rPr>
              <w:t xml:space="preserve"> </w:t>
            </w:r>
          </w:p>
          <w:p w:rsidR="00837453" w:rsidRPr="007945A7" w:rsidRDefault="00837453"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rsidR="00837453" w:rsidRPr="007945A7" w:rsidRDefault="00837453"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7945A7">
              <w:rPr>
                <w:rFonts w:asciiTheme="majorHAnsi" w:hAnsiTheme="majorHAnsi" w:cstheme="majorHAnsi"/>
                <w:color w:val="000000"/>
                <w:sz w:val="24"/>
                <w:szCs w:val="24"/>
                <w:lang w:val="es-CO" w:eastAsia="es-CO"/>
              </w:rPr>
              <w:t xml:space="preserve">Ahora bien, en el artículo citado, la misma establece la posibilidad de hacerlo en un menor tiempo, siempre y cuando se señalen las razones y las argumentaciones que se requieren a fin de determinar por qué se debe hacer la publicación en la página web para comentarios de la ciudadanía en un menor tiempo. Sobre este particular, la norma señala: </w:t>
            </w:r>
          </w:p>
          <w:p w:rsidR="00837453" w:rsidRPr="007945A7" w:rsidRDefault="00837453"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rsidR="00837453" w:rsidRPr="007945A7" w:rsidRDefault="00837453"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7945A7">
              <w:rPr>
                <w:rFonts w:asciiTheme="majorHAnsi" w:hAnsiTheme="majorHAnsi" w:cstheme="majorHAnsi"/>
                <w:color w:val="000000"/>
                <w:sz w:val="24"/>
                <w:szCs w:val="24"/>
                <w:lang w:val="es-CO" w:eastAsia="es-CO"/>
              </w:rPr>
              <w:lastRenderedPageBreak/>
              <w:t>“</w:t>
            </w:r>
            <w:r w:rsidRPr="007945A7">
              <w:rPr>
                <w:rFonts w:asciiTheme="majorHAnsi" w:hAnsiTheme="majorHAnsi" w:cstheme="majorHAnsi"/>
                <w:color w:val="000000"/>
                <w:sz w:val="24"/>
                <w:szCs w:val="24"/>
                <w:lang w:val="es-CO" w:eastAsia="es-CO"/>
              </w:rPr>
              <w:t>Excepcionalmente, la publicación podrá hacerse por un plazo inferior, siempre que la entidad que lidera el proyecto de reglamentación lo justifique de manera adecuada. En cualquier caso, el plazo deberá ser razonable y ajustado a la necesidad de la regulación.</w:t>
            </w:r>
            <w:r w:rsidRPr="007945A7">
              <w:rPr>
                <w:rFonts w:asciiTheme="majorHAnsi" w:hAnsiTheme="majorHAnsi" w:cstheme="majorHAnsi"/>
                <w:color w:val="000000"/>
                <w:sz w:val="24"/>
                <w:szCs w:val="24"/>
                <w:lang w:val="es-CO" w:eastAsia="es-CO"/>
              </w:rPr>
              <w:t xml:space="preserve">”. </w:t>
            </w:r>
          </w:p>
          <w:p w:rsidR="00837453" w:rsidRPr="007945A7" w:rsidRDefault="00837453"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rsidR="00837453" w:rsidRPr="007945A7" w:rsidRDefault="00837453"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7945A7">
              <w:rPr>
                <w:rFonts w:asciiTheme="majorHAnsi" w:hAnsiTheme="majorHAnsi" w:cstheme="majorHAnsi"/>
                <w:color w:val="000000"/>
                <w:sz w:val="24"/>
                <w:szCs w:val="24"/>
                <w:lang w:val="es-CO" w:eastAsia="es-CO"/>
              </w:rPr>
              <w:t>Que en ese sentido, en la Alcaldía de Bucaramanga se han adelantado espacios de socialización con las mismas autoridades y personas interesadas en el alcance del proyecto</w:t>
            </w:r>
            <w:r w:rsidR="00315875" w:rsidRPr="007945A7">
              <w:rPr>
                <w:rFonts w:asciiTheme="majorHAnsi" w:hAnsiTheme="majorHAnsi" w:cstheme="majorHAnsi"/>
                <w:color w:val="000000"/>
                <w:sz w:val="24"/>
                <w:szCs w:val="24"/>
                <w:lang w:val="es-CO" w:eastAsia="es-CO"/>
              </w:rPr>
              <w:t xml:space="preserve"> de regulación que se quiere adelantar</w:t>
            </w:r>
            <w:r w:rsidRPr="007945A7">
              <w:rPr>
                <w:rFonts w:asciiTheme="majorHAnsi" w:hAnsiTheme="majorHAnsi" w:cstheme="majorHAnsi"/>
                <w:color w:val="000000"/>
                <w:sz w:val="24"/>
                <w:szCs w:val="24"/>
                <w:lang w:val="es-CO" w:eastAsia="es-CO"/>
              </w:rPr>
              <w:t xml:space="preserve">, por lo que </w:t>
            </w:r>
            <w:r w:rsidR="00315875" w:rsidRPr="007945A7">
              <w:rPr>
                <w:rFonts w:asciiTheme="majorHAnsi" w:hAnsiTheme="majorHAnsi" w:cstheme="majorHAnsi"/>
                <w:color w:val="000000"/>
                <w:sz w:val="24"/>
                <w:szCs w:val="24"/>
                <w:lang w:val="es-CO" w:eastAsia="es-CO"/>
              </w:rPr>
              <w:t xml:space="preserve">se considera que otorgar un plazo de </w:t>
            </w:r>
            <w:r w:rsidR="00EF76D8" w:rsidRPr="007945A7">
              <w:rPr>
                <w:rFonts w:asciiTheme="majorHAnsi" w:hAnsiTheme="majorHAnsi" w:cstheme="majorHAnsi"/>
                <w:color w:val="000000"/>
                <w:sz w:val="24"/>
                <w:szCs w:val="24"/>
                <w:lang w:val="es-CO" w:eastAsia="es-CO"/>
              </w:rPr>
              <w:t>quince (</w:t>
            </w:r>
            <w:r w:rsidR="00315875" w:rsidRPr="007945A7">
              <w:rPr>
                <w:rFonts w:asciiTheme="majorHAnsi" w:hAnsiTheme="majorHAnsi" w:cstheme="majorHAnsi"/>
                <w:color w:val="000000"/>
                <w:sz w:val="24"/>
                <w:szCs w:val="24"/>
                <w:lang w:val="es-CO" w:eastAsia="es-CO"/>
              </w:rPr>
              <w:t>15</w:t>
            </w:r>
            <w:r w:rsidR="00EF76D8" w:rsidRPr="007945A7">
              <w:rPr>
                <w:rFonts w:asciiTheme="majorHAnsi" w:hAnsiTheme="majorHAnsi" w:cstheme="majorHAnsi"/>
                <w:color w:val="000000"/>
                <w:sz w:val="24"/>
                <w:szCs w:val="24"/>
                <w:lang w:val="es-CO" w:eastAsia="es-CO"/>
              </w:rPr>
              <w:t>)</w:t>
            </w:r>
            <w:r w:rsidR="00315875" w:rsidRPr="007945A7">
              <w:rPr>
                <w:rFonts w:asciiTheme="majorHAnsi" w:hAnsiTheme="majorHAnsi" w:cstheme="majorHAnsi"/>
                <w:color w:val="000000"/>
                <w:sz w:val="24"/>
                <w:szCs w:val="24"/>
                <w:lang w:val="es-CO" w:eastAsia="es-CO"/>
              </w:rPr>
              <w:t xml:space="preserve"> días calendario</w:t>
            </w:r>
            <w:r w:rsidR="006F4A83" w:rsidRPr="007945A7">
              <w:rPr>
                <w:rFonts w:asciiTheme="majorHAnsi" w:hAnsiTheme="majorHAnsi" w:cstheme="majorHAnsi"/>
                <w:color w:val="000000"/>
                <w:sz w:val="24"/>
                <w:szCs w:val="24"/>
                <w:lang w:val="es-CO" w:eastAsia="es-CO"/>
              </w:rPr>
              <w:t>,</w:t>
            </w:r>
            <w:r w:rsidR="00315875" w:rsidRPr="007945A7">
              <w:rPr>
                <w:rFonts w:asciiTheme="majorHAnsi" w:hAnsiTheme="majorHAnsi" w:cstheme="majorHAnsi"/>
                <w:color w:val="000000"/>
                <w:sz w:val="24"/>
                <w:szCs w:val="24"/>
                <w:lang w:val="es-CO" w:eastAsia="es-CO"/>
              </w:rPr>
              <w:t xml:space="preserve"> </w:t>
            </w:r>
            <w:r w:rsidR="00EF76D8" w:rsidRPr="007945A7">
              <w:rPr>
                <w:rFonts w:asciiTheme="majorHAnsi" w:hAnsiTheme="majorHAnsi" w:cstheme="majorHAnsi"/>
                <w:color w:val="000000"/>
                <w:sz w:val="24"/>
                <w:szCs w:val="24"/>
                <w:lang w:val="es-CO" w:eastAsia="es-CO"/>
              </w:rPr>
              <w:t>resulta</w:t>
            </w:r>
            <w:r w:rsidR="00315875" w:rsidRPr="007945A7">
              <w:rPr>
                <w:rFonts w:asciiTheme="majorHAnsi" w:hAnsiTheme="majorHAnsi" w:cstheme="majorHAnsi"/>
                <w:color w:val="000000"/>
                <w:sz w:val="24"/>
                <w:szCs w:val="24"/>
                <w:lang w:val="es-CO" w:eastAsia="es-CO"/>
              </w:rPr>
              <w:t xml:space="preserve"> largo frente al recorrido que se ha venido realizando desde la</w:t>
            </w:r>
            <w:r w:rsidR="002E7AE9" w:rsidRPr="007945A7">
              <w:rPr>
                <w:rFonts w:asciiTheme="majorHAnsi" w:hAnsiTheme="majorHAnsi" w:cstheme="majorHAnsi"/>
                <w:color w:val="000000"/>
                <w:sz w:val="24"/>
                <w:szCs w:val="24"/>
                <w:lang w:val="es-CO" w:eastAsia="es-CO"/>
              </w:rPr>
              <w:t>s</w:t>
            </w:r>
            <w:r w:rsidR="00315875" w:rsidRPr="007945A7">
              <w:rPr>
                <w:rFonts w:asciiTheme="majorHAnsi" w:hAnsiTheme="majorHAnsi" w:cstheme="majorHAnsi"/>
                <w:color w:val="000000"/>
                <w:sz w:val="24"/>
                <w:szCs w:val="24"/>
                <w:lang w:val="es-CO" w:eastAsia="es-CO"/>
              </w:rPr>
              <w:t xml:space="preserve"> autoridad</w:t>
            </w:r>
            <w:r w:rsidR="002E7AE9" w:rsidRPr="007945A7">
              <w:rPr>
                <w:rFonts w:asciiTheme="majorHAnsi" w:hAnsiTheme="majorHAnsi" w:cstheme="majorHAnsi"/>
                <w:color w:val="000000"/>
                <w:sz w:val="24"/>
                <w:szCs w:val="24"/>
                <w:lang w:val="es-CO" w:eastAsia="es-CO"/>
              </w:rPr>
              <w:t>es</w:t>
            </w:r>
            <w:r w:rsidR="00315875" w:rsidRPr="007945A7">
              <w:rPr>
                <w:rFonts w:asciiTheme="majorHAnsi" w:hAnsiTheme="majorHAnsi" w:cstheme="majorHAnsi"/>
                <w:color w:val="000000"/>
                <w:sz w:val="24"/>
                <w:szCs w:val="24"/>
                <w:lang w:val="es-CO" w:eastAsia="es-CO"/>
              </w:rPr>
              <w:t xml:space="preserve"> territorial</w:t>
            </w:r>
            <w:r w:rsidR="002E7AE9" w:rsidRPr="007945A7">
              <w:rPr>
                <w:rFonts w:asciiTheme="majorHAnsi" w:hAnsiTheme="majorHAnsi" w:cstheme="majorHAnsi"/>
                <w:color w:val="000000"/>
                <w:sz w:val="24"/>
                <w:szCs w:val="24"/>
                <w:lang w:val="es-CO" w:eastAsia="es-CO"/>
              </w:rPr>
              <w:t>es (Alcaldía de Bucaramanga y Gobernación de Santander</w:t>
            </w:r>
            <w:r w:rsidR="006F4A83" w:rsidRPr="007945A7">
              <w:rPr>
                <w:rFonts w:asciiTheme="majorHAnsi" w:hAnsiTheme="majorHAnsi" w:cstheme="majorHAnsi"/>
                <w:color w:val="000000"/>
                <w:sz w:val="24"/>
                <w:szCs w:val="24"/>
                <w:lang w:val="es-CO" w:eastAsia="es-CO"/>
              </w:rPr>
              <w:t xml:space="preserve"> a través de sus entidades adscritas</w:t>
            </w:r>
            <w:r w:rsidR="002E7AE9" w:rsidRPr="007945A7">
              <w:rPr>
                <w:rFonts w:asciiTheme="majorHAnsi" w:hAnsiTheme="majorHAnsi" w:cstheme="majorHAnsi"/>
                <w:color w:val="000000"/>
                <w:sz w:val="24"/>
                <w:szCs w:val="24"/>
                <w:lang w:val="es-CO" w:eastAsia="es-CO"/>
              </w:rPr>
              <w:t>)</w:t>
            </w:r>
            <w:r w:rsidR="00315875" w:rsidRPr="007945A7">
              <w:rPr>
                <w:rFonts w:asciiTheme="majorHAnsi" w:hAnsiTheme="majorHAnsi" w:cstheme="majorHAnsi"/>
                <w:color w:val="000000"/>
                <w:sz w:val="24"/>
                <w:szCs w:val="24"/>
                <w:lang w:val="es-CO" w:eastAsia="es-CO"/>
              </w:rPr>
              <w:t xml:space="preserve"> en procura de alcanzar los cometidos reglamentarios</w:t>
            </w:r>
            <w:r w:rsidR="002176CC" w:rsidRPr="007945A7">
              <w:rPr>
                <w:rFonts w:asciiTheme="majorHAnsi" w:hAnsiTheme="majorHAnsi" w:cstheme="majorHAnsi"/>
                <w:color w:val="000000"/>
                <w:sz w:val="24"/>
                <w:szCs w:val="24"/>
                <w:lang w:val="es-CO" w:eastAsia="es-CO"/>
              </w:rPr>
              <w:t xml:space="preserve"> que se tienen desde el Ministerio de Cultura.</w:t>
            </w:r>
            <w:r w:rsidR="00315875" w:rsidRPr="007945A7">
              <w:rPr>
                <w:rFonts w:asciiTheme="majorHAnsi" w:hAnsiTheme="majorHAnsi" w:cstheme="majorHAnsi"/>
                <w:color w:val="000000"/>
                <w:sz w:val="24"/>
                <w:szCs w:val="24"/>
                <w:lang w:val="es-CO" w:eastAsia="es-CO"/>
              </w:rPr>
              <w:t xml:space="preserve"> </w:t>
            </w:r>
          </w:p>
          <w:p w:rsidR="002E7AE9" w:rsidRPr="007945A7" w:rsidRDefault="002E7AE9"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rsidR="002176CC" w:rsidRPr="007945A7" w:rsidRDefault="002E7AE9"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7945A7">
              <w:rPr>
                <w:rFonts w:asciiTheme="majorHAnsi" w:hAnsiTheme="majorHAnsi" w:cstheme="majorHAnsi"/>
                <w:color w:val="000000"/>
                <w:sz w:val="24"/>
                <w:szCs w:val="24"/>
                <w:lang w:val="es-CO" w:eastAsia="es-CO"/>
              </w:rPr>
              <w:t>Que así las cosas, en la medida en que el Fondo es un instrumento que es objeto de un mayor interés por parte de las autoridades que estar</w:t>
            </w:r>
            <w:r w:rsidR="00C54C63" w:rsidRPr="007945A7">
              <w:rPr>
                <w:rFonts w:asciiTheme="majorHAnsi" w:hAnsiTheme="majorHAnsi" w:cstheme="majorHAnsi"/>
                <w:color w:val="000000"/>
                <w:sz w:val="24"/>
                <w:szCs w:val="24"/>
                <w:lang w:val="es-CO" w:eastAsia="es-CO"/>
              </w:rPr>
              <w:t>án involucradas en la</w:t>
            </w:r>
            <w:r w:rsidRPr="007945A7">
              <w:rPr>
                <w:rFonts w:asciiTheme="majorHAnsi" w:hAnsiTheme="majorHAnsi" w:cstheme="majorHAnsi"/>
                <w:color w:val="000000"/>
                <w:sz w:val="24"/>
                <w:szCs w:val="24"/>
                <w:lang w:val="es-CO" w:eastAsia="es-CO"/>
              </w:rPr>
              <w:t xml:space="preserve"> ejecución</w:t>
            </w:r>
            <w:r w:rsidR="00C54C63" w:rsidRPr="007945A7">
              <w:rPr>
                <w:rFonts w:asciiTheme="majorHAnsi" w:hAnsiTheme="majorHAnsi" w:cstheme="majorHAnsi"/>
                <w:color w:val="000000"/>
                <w:sz w:val="24"/>
                <w:szCs w:val="24"/>
                <w:lang w:val="es-CO" w:eastAsia="es-CO"/>
              </w:rPr>
              <w:t xml:space="preserve"> de los recursos</w:t>
            </w:r>
            <w:r w:rsidRPr="007945A7">
              <w:rPr>
                <w:rFonts w:asciiTheme="majorHAnsi" w:hAnsiTheme="majorHAnsi" w:cstheme="majorHAnsi"/>
                <w:color w:val="000000"/>
                <w:sz w:val="24"/>
                <w:szCs w:val="24"/>
                <w:lang w:val="es-CO" w:eastAsia="es-CO"/>
              </w:rPr>
              <w:t xml:space="preserve">, dicho ejercicio de socialización ya se realizó con las autoridades con injerencia en las políticas culturales al interior de la ciudad de Bucaramanga, así como del Departamento, quedando sólo dar cumplimiento a los comentarios de la ciudadanía, en un ámbito </w:t>
            </w:r>
            <w:r w:rsidR="00C54C63" w:rsidRPr="007945A7">
              <w:rPr>
                <w:rFonts w:asciiTheme="majorHAnsi" w:hAnsiTheme="majorHAnsi" w:cstheme="majorHAnsi"/>
                <w:color w:val="000000"/>
                <w:sz w:val="24"/>
                <w:szCs w:val="24"/>
                <w:lang w:val="es-CO" w:eastAsia="es-CO"/>
              </w:rPr>
              <w:t>ya más</w:t>
            </w:r>
            <w:r w:rsidRPr="007945A7">
              <w:rPr>
                <w:rFonts w:asciiTheme="majorHAnsi" w:hAnsiTheme="majorHAnsi" w:cstheme="majorHAnsi"/>
                <w:color w:val="000000"/>
                <w:sz w:val="24"/>
                <w:szCs w:val="24"/>
                <w:lang w:val="es-CO" w:eastAsia="es-CO"/>
              </w:rPr>
              <w:t xml:space="preserve"> general</w:t>
            </w:r>
            <w:r w:rsidR="00C54C63" w:rsidRPr="007945A7">
              <w:rPr>
                <w:rFonts w:asciiTheme="majorHAnsi" w:hAnsiTheme="majorHAnsi" w:cstheme="majorHAnsi"/>
                <w:color w:val="000000"/>
                <w:sz w:val="24"/>
                <w:szCs w:val="24"/>
                <w:lang w:val="es-CO" w:eastAsia="es-CO"/>
              </w:rPr>
              <w:t xml:space="preserve">, sin que sea necesario otorgar plazos </w:t>
            </w:r>
            <w:r w:rsidR="00E937CA" w:rsidRPr="007945A7">
              <w:rPr>
                <w:rFonts w:asciiTheme="majorHAnsi" w:hAnsiTheme="majorHAnsi" w:cstheme="majorHAnsi"/>
                <w:color w:val="000000"/>
                <w:sz w:val="24"/>
                <w:szCs w:val="24"/>
                <w:lang w:val="es-CO" w:eastAsia="es-CO"/>
              </w:rPr>
              <w:t xml:space="preserve">adicionales </w:t>
            </w:r>
            <w:r w:rsidR="00C54C63" w:rsidRPr="007945A7">
              <w:rPr>
                <w:rFonts w:asciiTheme="majorHAnsi" w:hAnsiTheme="majorHAnsi" w:cstheme="majorHAnsi"/>
                <w:color w:val="000000"/>
                <w:sz w:val="24"/>
                <w:szCs w:val="24"/>
                <w:lang w:val="es-CO" w:eastAsia="es-CO"/>
              </w:rPr>
              <w:t xml:space="preserve">extensos, en tanto que a lo que ya se ha expresado, el contenido del mencionado proyecto de acto administrativo no lo amerita, dado que </w:t>
            </w:r>
            <w:r w:rsidR="00315875" w:rsidRPr="007945A7">
              <w:rPr>
                <w:rFonts w:asciiTheme="majorHAnsi" w:hAnsiTheme="majorHAnsi" w:cstheme="majorHAnsi"/>
                <w:color w:val="000000"/>
                <w:sz w:val="24"/>
                <w:szCs w:val="24"/>
                <w:lang w:val="es-CO" w:eastAsia="es-CO"/>
              </w:rPr>
              <w:t xml:space="preserve">se está simplemente cumpliendo un mandato u orden en el sentido de crear un Fondo a propósito de lo establecido en el </w:t>
            </w:r>
            <w:r w:rsidR="002176CC" w:rsidRPr="007945A7">
              <w:rPr>
                <w:rFonts w:asciiTheme="majorHAnsi" w:hAnsiTheme="majorHAnsi" w:cstheme="majorHAnsi"/>
                <w:color w:val="000000"/>
                <w:sz w:val="24"/>
                <w:szCs w:val="24"/>
                <w:lang w:val="es-CO" w:eastAsia="es-CO"/>
              </w:rPr>
              <w:t>artículo</w:t>
            </w:r>
            <w:r w:rsidR="00315875" w:rsidRPr="007945A7">
              <w:rPr>
                <w:rFonts w:asciiTheme="majorHAnsi" w:hAnsiTheme="majorHAnsi" w:cstheme="majorHAnsi"/>
                <w:color w:val="000000"/>
                <w:sz w:val="24"/>
                <w:szCs w:val="24"/>
                <w:lang w:val="es-CO" w:eastAsia="es-CO"/>
              </w:rPr>
              <w:t xml:space="preserve"> 5 de la Ley 2062 de 2020</w:t>
            </w:r>
            <w:r w:rsidR="002176CC" w:rsidRPr="007945A7">
              <w:rPr>
                <w:rFonts w:asciiTheme="majorHAnsi" w:hAnsiTheme="majorHAnsi" w:cstheme="majorHAnsi"/>
                <w:color w:val="000000"/>
                <w:sz w:val="24"/>
                <w:szCs w:val="24"/>
                <w:lang w:val="es-CO" w:eastAsia="es-CO"/>
              </w:rPr>
              <w:t>.</w:t>
            </w:r>
          </w:p>
          <w:p w:rsidR="002176CC" w:rsidRPr="007945A7" w:rsidRDefault="002176CC"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rsidR="00315875" w:rsidRPr="00001B6D" w:rsidRDefault="00EF76D8"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7945A7">
              <w:rPr>
                <w:rFonts w:asciiTheme="majorHAnsi" w:hAnsiTheme="majorHAnsi" w:cstheme="majorHAnsi"/>
                <w:color w:val="000000"/>
                <w:sz w:val="24"/>
                <w:szCs w:val="24"/>
                <w:lang w:val="es-CO" w:eastAsia="es-CO"/>
              </w:rPr>
              <w:t>Por otra parte</w:t>
            </w:r>
            <w:r w:rsidR="002176CC" w:rsidRPr="007945A7">
              <w:rPr>
                <w:rFonts w:asciiTheme="majorHAnsi" w:hAnsiTheme="majorHAnsi" w:cstheme="majorHAnsi"/>
                <w:color w:val="000000"/>
                <w:sz w:val="24"/>
                <w:szCs w:val="24"/>
                <w:lang w:val="es-CO" w:eastAsia="es-CO"/>
              </w:rPr>
              <w:t xml:space="preserve">, los temas de procedimiento en cuanto a los gastos, apropiación y ejecución de los recursos, fueron asuntos que </w:t>
            </w:r>
            <w:r w:rsidRPr="007945A7">
              <w:rPr>
                <w:rFonts w:asciiTheme="majorHAnsi" w:hAnsiTheme="majorHAnsi" w:cstheme="majorHAnsi"/>
                <w:color w:val="000000"/>
                <w:sz w:val="24"/>
                <w:szCs w:val="24"/>
                <w:lang w:val="es-CO" w:eastAsia="es-CO"/>
              </w:rPr>
              <w:t xml:space="preserve">ya </w:t>
            </w:r>
            <w:r w:rsidR="002176CC" w:rsidRPr="007945A7">
              <w:rPr>
                <w:rFonts w:asciiTheme="majorHAnsi" w:hAnsiTheme="majorHAnsi" w:cstheme="majorHAnsi"/>
                <w:color w:val="000000"/>
                <w:sz w:val="24"/>
                <w:szCs w:val="24"/>
                <w:lang w:val="es-CO" w:eastAsia="es-CO"/>
              </w:rPr>
              <w:t xml:space="preserve">se encuentran </w:t>
            </w:r>
            <w:r w:rsidR="00321CAB" w:rsidRPr="007945A7">
              <w:rPr>
                <w:rFonts w:asciiTheme="majorHAnsi" w:hAnsiTheme="majorHAnsi" w:cstheme="majorHAnsi"/>
                <w:color w:val="000000"/>
                <w:sz w:val="24"/>
                <w:szCs w:val="24"/>
                <w:lang w:val="es-CO" w:eastAsia="es-CO"/>
              </w:rPr>
              <w:t>discutidos</w:t>
            </w:r>
            <w:r w:rsidR="002176CC" w:rsidRPr="007945A7">
              <w:rPr>
                <w:rFonts w:asciiTheme="majorHAnsi" w:hAnsiTheme="majorHAnsi" w:cstheme="majorHAnsi"/>
                <w:color w:val="000000"/>
                <w:sz w:val="24"/>
                <w:szCs w:val="24"/>
                <w:lang w:val="es-CO" w:eastAsia="es-CO"/>
              </w:rPr>
              <w:t xml:space="preserve"> con el Ministerio de Hacienda y </w:t>
            </w:r>
            <w:r w:rsidR="00E937CA" w:rsidRPr="007945A7">
              <w:rPr>
                <w:rFonts w:asciiTheme="majorHAnsi" w:hAnsiTheme="majorHAnsi" w:cstheme="majorHAnsi"/>
                <w:color w:val="000000"/>
                <w:sz w:val="24"/>
                <w:szCs w:val="24"/>
                <w:lang w:val="es-CO" w:eastAsia="es-CO"/>
              </w:rPr>
              <w:t xml:space="preserve">Crédito </w:t>
            </w:r>
            <w:r w:rsidR="002176CC" w:rsidRPr="007945A7">
              <w:rPr>
                <w:rFonts w:asciiTheme="majorHAnsi" w:hAnsiTheme="majorHAnsi" w:cstheme="majorHAnsi"/>
                <w:color w:val="000000"/>
                <w:sz w:val="24"/>
                <w:szCs w:val="24"/>
                <w:lang w:val="es-CO" w:eastAsia="es-CO"/>
              </w:rPr>
              <w:t>P</w:t>
            </w:r>
            <w:r w:rsidR="00321CAB" w:rsidRPr="007945A7">
              <w:rPr>
                <w:rFonts w:asciiTheme="majorHAnsi" w:hAnsiTheme="majorHAnsi" w:cstheme="majorHAnsi"/>
                <w:color w:val="000000"/>
                <w:sz w:val="24"/>
                <w:szCs w:val="24"/>
                <w:lang w:val="es-CO" w:eastAsia="es-CO"/>
              </w:rPr>
              <w:t>úblico</w:t>
            </w:r>
            <w:r w:rsidR="002176CC" w:rsidRPr="007945A7">
              <w:rPr>
                <w:rFonts w:asciiTheme="majorHAnsi" w:hAnsiTheme="majorHAnsi" w:cstheme="majorHAnsi"/>
                <w:color w:val="000000"/>
                <w:sz w:val="24"/>
                <w:szCs w:val="24"/>
                <w:lang w:val="es-CO" w:eastAsia="es-CO"/>
              </w:rPr>
              <w:t xml:space="preserve">, </w:t>
            </w:r>
            <w:r w:rsidR="00E937CA" w:rsidRPr="007945A7">
              <w:rPr>
                <w:rFonts w:asciiTheme="majorHAnsi" w:hAnsiTheme="majorHAnsi" w:cstheme="majorHAnsi"/>
                <w:color w:val="000000"/>
                <w:sz w:val="24"/>
                <w:szCs w:val="24"/>
                <w:lang w:val="es-CO" w:eastAsia="es-CO"/>
              </w:rPr>
              <w:t xml:space="preserve">a fin de que se verificara el ajuste de las mismas </w:t>
            </w:r>
            <w:r w:rsidR="002176CC" w:rsidRPr="007945A7">
              <w:rPr>
                <w:rFonts w:asciiTheme="majorHAnsi" w:hAnsiTheme="majorHAnsi" w:cstheme="majorHAnsi"/>
                <w:color w:val="000000"/>
                <w:sz w:val="24"/>
                <w:szCs w:val="24"/>
                <w:lang w:val="es-CO" w:eastAsia="es-CO"/>
              </w:rPr>
              <w:t xml:space="preserve">a la normatividad que </w:t>
            </w:r>
            <w:r w:rsidR="00E937CA" w:rsidRPr="007945A7">
              <w:rPr>
                <w:rFonts w:asciiTheme="majorHAnsi" w:hAnsiTheme="majorHAnsi" w:cstheme="majorHAnsi"/>
                <w:color w:val="000000"/>
                <w:sz w:val="24"/>
                <w:szCs w:val="24"/>
                <w:lang w:val="es-CO" w:eastAsia="es-CO"/>
              </w:rPr>
              <w:t>es propia</w:t>
            </w:r>
            <w:r w:rsidRPr="007945A7">
              <w:rPr>
                <w:rFonts w:asciiTheme="majorHAnsi" w:hAnsiTheme="majorHAnsi" w:cstheme="majorHAnsi"/>
                <w:color w:val="000000"/>
                <w:sz w:val="24"/>
                <w:szCs w:val="24"/>
                <w:lang w:val="es-CO" w:eastAsia="es-CO"/>
              </w:rPr>
              <w:t xml:space="preserve"> de dicho sector</w:t>
            </w:r>
            <w:r w:rsidR="002176CC" w:rsidRPr="007945A7">
              <w:rPr>
                <w:rFonts w:asciiTheme="majorHAnsi" w:hAnsiTheme="majorHAnsi" w:cstheme="majorHAnsi"/>
                <w:color w:val="000000"/>
                <w:sz w:val="24"/>
                <w:szCs w:val="24"/>
                <w:lang w:val="es-CO" w:eastAsia="es-CO"/>
              </w:rPr>
              <w:t>.</w:t>
            </w:r>
            <w:r w:rsidR="002176CC">
              <w:rPr>
                <w:rFonts w:asciiTheme="majorHAnsi" w:hAnsiTheme="majorHAnsi" w:cstheme="majorHAnsi"/>
                <w:color w:val="000000"/>
                <w:sz w:val="24"/>
                <w:szCs w:val="24"/>
                <w:lang w:val="es-CO" w:eastAsia="es-CO"/>
              </w:rPr>
              <w:t xml:space="preserve">  </w:t>
            </w:r>
          </w:p>
          <w:p w:rsidR="006D4B3D" w:rsidRPr="00001B6D" w:rsidRDefault="006D4B3D" w:rsidP="00001B6D">
            <w:pPr>
              <w:tabs>
                <w:tab w:val="left" w:pos="10345"/>
              </w:tabs>
              <w:autoSpaceDE w:val="0"/>
              <w:autoSpaceDN w:val="0"/>
              <w:adjustRightInd w:val="0"/>
              <w:ind w:right="73"/>
              <w:jc w:val="both"/>
              <w:rPr>
                <w:rFonts w:asciiTheme="majorHAnsi" w:hAnsiTheme="majorHAnsi" w:cstheme="majorHAnsi"/>
                <w:color w:val="000000"/>
                <w:sz w:val="24"/>
                <w:szCs w:val="24"/>
                <w:lang w:val="es-CO" w:eastAsia="es-CO"/>
              </w:rPr>
            </w:pPr>
          </w:p>
          <w:p w:rsidR="006D4B3D" w:rsidRPr="00001B6D" w:rsidRDefault="006D4B3D" w:rsidP="00001B6D">
            <w:pPr>
              <w:tabs>
                <w:tab w:val="left" w:pos="10345"/>
              </w:tabs>
              <w:autoSpaceDE w:val="0"/>
              <w:autoSpaceDN w:val="0"/>
              <w:adjustRightInd w:val="0"/>
              <w:ind w:right="73"/>
              <w:jc w:val="both"/>
              <w:rPr>
                <w:rFonts w:asciiTheme="majorHAnsi" w:eastAsia="Calibri" w:hAnsiTheme="majorHAnsi" w:cstheme="majorHAnsi"/>
                <w:bCs/>
                <w:sz w:val="24"/>
                <w:szCs w:val="24"/>
                <w:lang w:eastAsia="en-US"/>
              </w:rPr>
            </w:pPr>
            <w:r w:rsidRPr="00001B6D">
              <w:rPr>
                <w:rFonts w:asciiTheme="majorHAnsi" w:hAnsiTheme="majorHAnsi" w:cstheme="majorHAnsi"/>
                <w:color w:val="000000"/>
                <w:sz w:val="24"/>
                <w:szCs w:val="24"/>
                <w:lang w:val="es-CO" w:eastAsia="es-CO"/>
              </w:rPr>
              <w:t xml:space="preserve">Por lo expuesto, se hace necesario adicionar el Decreto 1080 de 2015, Único Reglamentario del Sector Cultura, para incluir la reglamentación </w:t>
            </w:r>
            <w:r w:rsidR="00F3295E" w:rsidRPr="00001B6D">
              <w:rPr>
                <w:rFonts w:asciiTheme="majorHAnsi" w:hAnsiTheme="majorHAnsi" w:cstheme="majorHAnsi"/>
                <w:color w:val="000000"/>
                <w:sz w:val="24"/>
                <w:szCs w:val="24"/>
                <w:lang w:val="es-CO" w:eastAsia="es-CO"/>
              </w:rPr>
              <w:t>que permita poner en operación el Fondo Bucaramanga 400 años</w:t>
            </w:r>
            <w:r w:rsidRPr="00001B6D">
              <w:rPr>
                <w:rFonts w:asciiTheme="majorHAnsi" w:hAnsiTheme="majorHAnsi" w:cstheme="majorHAnsi"/>
                <w:color w:val="000000"/>
                <w:sz w:val="24"/>
                <w:szCs w:val="24"/>
                <w:lang w:val="es-CO" w:eastAsia="es-CO"/>
              </w:rPr>
              <w:t>, y de esta manera dar cumplimiento a los propósitos de su creación, señalados en la Le</w:t>
            </w:r>
            <w:r w:rsidR="00F3295E" w:rsidRPr="00001B6D">
              <w:rPr>
                <w:rFonts w:asciiTheme="majorHAnsi" w:hAnsiTheme="majorHAnsi" w:cstheme="majorHAnsi"/>
                <w:color w:val="000000"/>
                <w:sz w:val="24"/>
                <w:szCs w:val="24"/>
                <w:lang w:val="es-CO" w:eastAsia="es-CO"/>
              </w:rPr>
              <w:t>y 2062</w:t>
            </w:r>
            <w:r w:rsidRPr="00001B6D">
              <w:rPr>
                <w:rFonts w:asciiTheme="majorHAnsi" w:hAnsiTheme="majorHAnsi" w:cstheme="majorHAnsi"/>
                <w:color w:val="000000"/>
                <w:sz w:val="24"/>
                <w:szCs w:val="24"/>
                <w:lang w:val="es-CO" w:eastAsia="es-CO"/>
              </w:rPr>
              <w:t xml:space="preserve"> de 2020.</w:t>
            </w:r>
          </w:p>
        </w:tc>
      </w:tr>
      <w:tr w:rsidR="006D4B3D" w:rsidRPr="00001B6D" w:rsidTr="006F4A83">
        <w:trPr>
          <w:trHeight w:val="47"/>
        </w:trPr>
        <w:tc>
          <w:tcPr>
            <w:tcW w:w="10840" w:type="dxa"/>
            <w:gridSpan w:val="3"/>
            <w:shd w:val="clear" w:color="auto" w:fill="FFFFFF"/>
            <w:vAlign w:val="center"/>
          </w:tcPr>
          <w:p w:rsidR="006D4B3D" w:rsidRPr="00001B6D" w:rsidRDefault="006D4B3D" w:rsidP="008B71FC">
            <w:pPr>
              <w:jc w:val="both"/>
              <w:rPr>
                <w:rFonts w:asciiTheme="majorHAnsi" w:hAnsiTheme="majorHAnsi" w:cstheme="majorHAnsi"/>
                <w:sz w:val="24"/>
                <w:szCs w:val="24"/>
                <w:lang w:eastAsia="es-CO"/>
              </w:rPr>
            </w:pPr>
          </w:p>
        </w:tc>
      </w:tr>
      <w:tr w:rsidR="006D4B3D" w:rsidRPr="00001B6D" w:rsidTr="006F4A83">
        <w:trPr>
          <w:trHeight w:val="66"/>
        </w:trPr>
        <w:tc>
          <w:tcPr>
            <w:tcW w:w="10840" w:type="dxa"/>
            <w:gridSpan w:val="3"/>
            <w:tcBorders>
              <w:top w:val="single" w:sz="4" w:space="0" w:color="auto"/>
              <w:bottom w:val="single" w:sz="4" w:space="0" w:color="auto"/>
            </w:tcBorders>
            <w:shd w:val="clear" w:color="auto" w:fill="FFFFFF"/>
            <w:vAlign w:val="center"/>
          </w:tcPr>
          <w:p w:rsidR="006D4B3D" w:rsidRPr="00001B6D" w:rsidRDefault="006D4B3D" w:rsidP="008B71FC">
            <w:pPr>
              <w:ind w:left="494"/>
              <w:rPr>
                <w:rFonts w:asciiTheme="majorHAnsi" w:hAnsiTheme="majorHAnsi" w:cstheme="majorHAnsi"/>
                <w:b/>
                <w:color w:val="000000"/>
                <w:sz w:val="24"/>
                <w:szCs w:val="24"/>
              </w:rPr>
            </w:pPr>
          </w:p>
          <w:p w:rsidR="006D4B3D" w:rsidRPr="00001B6D" w:rsidRDefault="006D4B3D" w:rsidP="006D4B3D">
            <w:pPr>
              <w:numPr>
                <w:ilvl w:val="0"/>
                <w:numId w:val="1"/>
              </w:numPr>
              <w:ind w:left="494"/>
              <w:rPr>
                <w:rFonts w:asciiTheme="majorHAnsi" w:hAnsiTheme="majorHAnsi" w:cstheme="majorHAnsi"/>
                <w:b/>
                <w:color w:val="000000"/>
                <w:sz w:val="24"/>
                <w:szCs w:val="24"/>
              </w:rPr>
            </w:pPr>
            <w:r w:rsidRPr="00001B6D">
              <w:rPr>
                <w:rFonts w:asciiTheme="majorHAnsi" w:hAnsiTheme="majorHAnsi" w:cstheme="majorHAnsi"/>
                <w:b/>
                <w:color w:val="000000"/>
                <w:sz w:val="24"/>
                <w:szCs w:val="24"/>
              </w:rPr>
              <w:t>AMBITO DE APLICACIÓN Y SUJETOS A QUIENES VA DIRIGIDO</w:t>
            </w:r>
          </w:p>
          <w:p w:rsidR="006D4B3D" w:rsidRPr="00001B6D" w:rsidRDefault="006D4B3D" w:rsidP="008B71FC">
            <w:pPr>
              <w:jc w:val="both"/>
              <w:rPr>
                <w:rFonts w:asciiTheme="majorHAnsi" w:hAnsiTheme="majorHAnsi" w:cstheme="majorHAnsi"/>
                <w:i/>
                <w:color w:val="808080"/>
                <w:sz w:val="24"/>
                <w:szCs w:val="24"/>
              </w:rPr>
            </w:pPr>
          </w:p>
          <w:p w:rsidR="006D4B3D" w:rsidRPr="00001B6D" w:rsidRDefault="006D4B3D" w:rsidP="00F3295E">
            <w:pPr>
              <w:jc w:val="both"/>
              <w:rPr>
                <w:rFonts w:asciiTheme="majorHAnsi" w:hAnsiTheme="majorHAnsi" w:cstheme="majorHAnsi"/>
                <w:iCs/>
                <w:color w:val="000000"/>
                <w:sz w:val="24"/>
                <w:szCs w:val="24"/>
              </w:rPr>
            </w:pPr>
            <w:r w:rsidRPr="00001B6D">
              <w:rPr>
                <w:rFonts w:asciiTheme="majorHAnsi" w:hAnsiTheme="majorHAnsi" w:cstheme="majorHAnsi"/>
                <w:iCs/>
                <w:color w:val="000000"/>
                <w:sz w:val="24"/>
                <w:szCs w:val="24"/>
              </w:rPr>
              <w:t xml:space="preserve">La aplicación de la norma es general, </w:t>
            </w:r>
            <w:r w:rsidR="00F3295E" w:rsidRPr="00001B6D">
              <w:rPr>
                <w:rFonts w:asciiTheme="majorHAnsi" w:hAnsiTheme="majorHAnsi" w:cstheme="majorHAnsi"/>
                <w:iCs/>
                <w:color w:val="000000"/>
                <w:sz w:val="24"/>
                <w:szCs w:val="24"/>
              </w:rPr>
              <w:t>no obstante tiene un ámbito de aplicación territorial en la medida en que se da cumplimiento a una Ley que se encarga de enaltecer una ciudad, otorgando ciertos instrumentos de gestión y planeación precisamente para promoverla en diferentes escenarios, en especial el del sector cultura, a través de la celebración de sus actos de conmemoraci</w:t>
            </w:r>
            <w:r w:rsidR="00BF7D45" w:rsidRPr="00001B6D">
              <w:rPr>
                <w:rFonts w:asciiTheme="majorHAnsi" w:hAnsiTheme="majorHAnsi" w:cstheme="majorHAnsi"/>
                <w:iCs/>
                <w:color w:val="000000"/>
                <w:sz w:val="24"/>
                <w:szCs w:val="24"/>
              </w:rPr>
              <w:t>ón, los cuales se realizarán a fines del año 2021.</w:t>
            </w:r>
          </w:p>
          <w:p w:rsidR="00001B6D" w:rsidRPr="00001B6D" w:rsidRDefault="00001B6D" w:rsidP="00F3295E">
            <w:pPr>
              <w:jc w:val="both"/>
              <w:rPr>
                <w:rFonts w:asciiTheme="majorHAnsi" w:hAnsiTheme="majorHAnsi" w:cstheme="majorHAnsi"/>
                <w:iCs/>
                <w:color w:val="000000"/>
                <w:sz w:val="24"/>
                <w:szCs w:val="24"/>
              </w:rPr>
            </w:pPr>
          </w:p>
        </w:tc>
      </w:tr>
      <w:tr w:rsidR="006D4B3D" w:rsidRPr="00001B6D" w:rsidTr="006F4A83">
        <w:trPr>
          <w:trHeight w:val="278"/>
        </w:trPr>
        <w:tc>
          <w:tcPr>
            <w:tcW w:w="10840" w:type="dxa"/>
            <w:gridSpan w:val="3"/>
            <w:tcBorders>
              <w:bottom w:val="single" w:sz="4" w:space="0" w:color="auto"/>
            </w:tcBorders>
            <w:shd w:val="clear" w:color="auto" w:fill="FFFFFF"/>
            <w:vAlign w:val="center"/>
          </w:tcPr>
          <w:p w:rsidR="006D4B3D" w:rsidRPr="00001B6D" w:rsidRDefault="006D4B3D" w:rsidP="008B71FC">
            <w:pPr>
              <w:ind w:left="494" w:hanging="283"/>
              <w:rPr>
                <w:rFonts w:asciiTheme="majorHAnsi" w:hAnsiTheme="majorHAnsi" w:cstheme="majorHAnsi"/>
                <w:b/>
                <w:color w:val="000000"/>
                <w:sz w:val="24"/>
                <w:szCs w:val="24"/>
              </w:rPr>
            </w:pPr>
          </w:p>
          <w:p w:rsidR="006D4B3D" w:rsidRPr="00001B6D" w:rsidRDefault="006D4B3D" w:rsidP="008B71FC">
            <w:pPr>
              <w:ind w:left="494" w:hanging="283"/>
              <w:rPr>
                <w:rFonts w:asciiTheme="majorHAnsi" w:hAnsiTheme="majorHAnsi" w:cstheme="majorHAnsi"/>
                <w:b/>
                <w:color w:val="000000"/>
                <w:sz w:val="24"/>
                <w:szCs w:val="24"/>
              </w:rPr>
            </w:pPr>
            <w:r w:rsidRPr="00001B6D">
              <w:rPr>
                <w:rFonts w:asciiTheme="majorHAnsi" w:hAnsiTheme="majorHAnsi" w:cstheme="majorHAnsi"/>
                <w:b/>
                <w:color w:val="000000"/>
                <w:sz w:val="24"/>
                <w:szCs w:val="24"/>
              </w:rPr>
              <w:t>3. VIABILIDAD JURÍDICA</w:t>
            </w:r>
          </w:p>
          <w:p w:rsidR="006D4B3D" w:rsidRPr="00001B6D" w:rsidRDefault="006D4B3D" w:rsidP="008B71FC">
            <w:pPr>
              <w:ind w:left="494" w:hanging="283"/>
              <w:rPr>
                <w:rFonts w:asciiTheme="majorHAnsi" w:hAnsiTheme="majorHAnsi" w:cstheme="majorHAnsi"/>
                <w:i/>
                <w:color w:val="808080"/>
                <w:sz w:val="24"/>
                <w:szCs w:val="24"/>
              </w:rPr>
            </w:pPr>
          </w:p>
          <w:p w:rsidR="006D4B3D" w:rsidRPr="00001B6D" w:rsidRDefault="006D4B3D" w:rsidP="008B71FC">
            <w:pPr>
              <w:ind w:left="494" w:hanging="283"/>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3.1 Análisis de las normas que otorgan la competencia para la expedición del proyecto normativo</w:t>
            </w:r>
          </w:p>
          <w:p w:rsidR="006D4B3D" w:rsidRPr="00001B6D" w:rsidRDefault="006D4B3D" w:rsidP="008B71FC">
            <w:pPr>
              <w:ind w:left="494" w:hanging="283"/>
              <w:jc w:val="both"/>
              <w:rPr>
                <w:rFonts w:asciiTheme="majorHAnsi" w:hAnsiTheme="majorHAnsi" w:cstheme="majorHAnsi"/>
                <w:sz w:val="24"/>
                <w:szCs w:val="24"/>
                <w:lang w:val="es-CO" w:eastAsia="es-CO"/>
              </w:rPr>
            </w:pPr>
          </w:p>
          <w:p w:rsidR="006D4B3D" w:rsidRPr="00001B6D" w:rsidRDefault="006D4B3D" w:rsidP="008B71FC">
            <w:pPr>
              <w:ind w:left="926" w:right="214" w:hanging="283"/>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Las normas que otorgan la competencia para expedir el proyecto normativo son: </w:t>
            </w:r>
          </w:p>
          <w:p w:rsidR="006D4B3D" w:rsidRPr="00001B6D" w:rsidRDefault="006D4B3D" w:rsidP="008B71FC">
            <w:pPr>
              <w:ind w:left="926" w:right="214" w:hanging="283"/>
              <w:jc w:val="both"/>
              <w:rPr>
                <w:rFonts w:asciiTheme="majorHAnsi" w:hAnsiTheme="majorHAnsi" w:cstheme="majorHAnsi"/>
                <w:sz w:val="24"/>
                <w:szCs w:val="24"/>
                <w:lang w:val="es-CO" w:eastAsia="es-CO"/>
              </w:rPr>
            </w:pPr>
          </w:p>
          <w:p w:rsidR="006D4B3D" w:rsidRPr="00001B6D" w:rsidRDefault="006D4B3D" w:rsidP="006D4B3D">
            <w:pPr>
              <w:numPr>
                <w:ilvl w:val="0"/>
                <w:numId w:val="3"/>
              </w:numPr>
              <w:ind w:left="1152" w:right="214"/>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Artículo 189 numeral de la 11 de la Constitución Política, de acuerdo con el cual corresponde al Presidente de la República ejercer la potestad reglamentaria, mediante la expedición de decretos, resoluciones u órdenes necesarias para la cumplida ejecución de las leyes. </w:t>
            </w:r>
          </w:p>
          <w:p w:rsidR="006D4B3D" w:rsidRPr="00001B6D" w:rsidRDefault="006D4B3D" w:rsidP="008B71FC">
            <w:pPr>
              <w:ind w:left="1152" w:right="214"/>
              <w:jc w:val="both"/>
              <w:rPr>
                <w:rFonts w:asciiTheme="majorHAnsi" w:hAnsiTheme="majorHAnsi" w:cstheme="majorHAnsi"/>
                <w:sz w:val="24"/>
                <w:szCs w:val="24"/>
                <w:lang w:val="es-CO" w:eastAsia="es-CO"/>
              </w:rPr>
            </w:pPr>
          </w:p>
          <w:p w:rsidR="006D4B3D" w:rsidRPr="00001B6D" w:rsidRDefault="00BF7D45" w:rsidP="006D4B3D">
            <w:pPr>
              <w:numPr>
                <w:ilvl w:val="0"/>
                <w:numId w:val="3"/>
              </w:numPr>
              <w:ind w:left="1152" w:right="214"/>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Ley 2062</w:t>
            </w:r>
            <w:r w:rsidR="006D4B3D" w:rsidRPr="00001B6D">
              <w:rPr>
                <w:rFonts w:asciiTheme="majorHAnsi" w:hAnsiTheme="majorHAnsi" w:cstheme="majorHAnsi"/>
                <w:sz w:val="24"/>
                <w:szCs w:val="24"/>
                <w:lang w:val="es-CO" w:eastAsia="es-CO"/>
              </w:rPr>
              <w:t xml:space="preserve"> de 2020, </w:t>
            </w:r>
            <w:r w:rsidRPr="00001B6D">
              <w:rPr>
                <w:rFonts w:asciiTheme="majorHAnsi" w:hAnsiTheme="majorHAnsi" w:cstheme="majorHAnsi"/>
                <w:sz w:val="24"/>
                <w:szCs w:val="24"/>
                <w:lang w:val="es-CO" w:eastAsia="es-CO"/>
              </w:rPr>
              <w:t>Por medio de la cual la Nación se asocia y rinde homenaje a la ciudad de Bucaramanga en el departamento de Santander con motivo de la celebración de sus 400 años de Fundación y se dictan otras disposiciones.</w:t>
            </w:r>
          </w:p>
          <w:p w:rsidR="006D4B3D" w:rsidRPr="00001B6D" w:rsidRDefault="006D4B3D" w:rsidP="008B71FC">
            <w:pPr>
              <w:ind w:left="926" w:right="214" w:hanging="283"/>
              <w:jc w:val="both"/>
              <w:rPr>
                <w:rFonts w:asciiTheme="majorHAnsi" w:hAnsiTheme="majorHAnsi" w:cstheme="majorHAnsi"/>
                <w:sz w:val="24"/>
                <w:szCs w:val="24"/>
                <w:lang w:val="es-CO" w:eastAsia="es-CO"/>
              </w:rPr>
            </w:pPr>
          </w:p>
          <w:p w:rsidR="006D4B3D" w:rsidRPr="00001B6D" w:rsidRDefault="006D4B3D" w:rsidP="008B71FC">
            <w:pPr>
              <w:ind w:left="494" w:right="214" w:hanging="283"/>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3.2 Vigencia de la ley o norma reglamentada o desarrollada</w:t>
            </w:r>
          </w:p>
          <w:p w:rsidR="006D4B3D" w:rsidRPr="00001B6D" w:rsidRDefault="006D4B3D" w:rsidP="008B71FC">
            <w:pPr>
              <w:ind w:left="494" w:right="214" w:hanging="283"/>
              <w:jc w:val="both"/>
              <w:rPr>
                <w:rFonts w:asciiTheme="majorHAnsi" w:hAnsiTheme="majorHAnsi" w:cstheme="majorHAnsi"/>
                <w:sz w:val="24"/>
                <w:szCs w:val="24"/>
                <w:lang w:val="es-CO" w:eastAsia="es-CO"/>
              </w:rPr>
            </w:pPr>
          </w:p>
          <w:p w:rsidR="006D4B3D" w:rsidRPr="00001B6D" w:rsidRDefault="006D4B3D" w:rsidP="008B71FC">
            <w:pPr>
              <w:ind w:left="638" w:right="214"/>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De acuerdo con el artículo </w:t>
            </w:r>
            <w:r w:rsidR="00BF7D45" w:rsidRPr="00001B6D">
              <w:rPr>
                <w:rFonts w:asciiTheme="majorHAnsi" w:hAnsiTheme="majorHAnsi" w:cstheme="majorHAnsi"/>
                <w:sz w:val="24"/>
                <w:szCs w:val="24"/>
                <w:lang w:val="es-CO" w:eastAsia="es-CO"/>
              </w:rPr>
              <w:t>8 de la Ley 2062</w:t>
            </w:r>
            <w:r w:rsidRPr="00001B6D">
              <w:rPr>
                <w:rFonts w:asciiTheme="majorHAnsi" w:hAnsiTheme="majorHAnsi" w:cstheme="majorHAnsi"/>
                <w:sz w:val="24"/>
                <w:szCs w:val="24"/>
                <w:lang w:val="es-CO" w:eastAsia="es-CO"/>
              </w:rPr>
              <w:t xml:space="preserve"> de 2020, ésta entró en vigencia a partir de la fecha de su </w:t>
            </w:r>
            <w:r w:rsidR="00BF7D45" w:rsidRPr="00001B6D">
              <w:rPr>
                <w:rFonts w:asciiTheme="majorHAnsi" w:hAnsiTheme="majorHAnsi" w:cstheme="majorHAnsi"/>
                <w:sz w:val="24"/>
                <w:szCs w:val="24"/>
                <w:lang w:val="es-CO" w:eastAsia="es-CO"/>
              </w:rPr>
              <w:t>promulgación. Publicado en el Diario Oficial No. 51.481, octubre, 2020.</w:t>
            </w:r>
          </w:p>
          <w:p w:rsidR="006D4B3D" w:rsidRPr="00001B6D" w:rsidRDefault="006D4B3D" w:rsidP="008B71FC">
            <w:pPr>
              <w:ind w:left="494" w:right="214" w:hanging="283"/>
              <w:jc w:val="both"/>
              <w:rPr>
                <w:rFonts w:asciiTheme="majorHAnsi" w:hAnsiTheme="majorHAnsi" w:cstheme="majorHAnsi"/>
                <w:sz w:val="24"/>
                <w:szCs w:val="24"/>
                <w:lang w:val="es-CO" w:eastAsia="es-CO"/>
              </w:rPr>
            </w:pPr>
          </w:p>
          <w:p w:rsidR="006D4B3D" w:rsidRPr="00001B6D" w:rsidRDefault="006D4B3D" w:rsidP="008B71FC">
            <w:pPr>
              <w:ind w:left="494" w:right="214" w:hanging="283"/>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3.3. Disposiciones derogadas, subrogadas, modificadas, adicionadas o sustituidas </w:t>
            </w:r>
          </w:p>
          <w:p w:rsidR="006D4B3D" w:rsidRPr="00001B6D" w:rsidRDefault="006D4B3D" w:rsidP="008B71FC">
            <w:pPr>
              <w:ind w:left="494" w:right="214" w:hanging="283"/>
              <w:jc w:val="both"/>
              <w:rPr>
                <w:rFonts w:asciiTheme="majorHAnsi" w:hAnsiTheme="majorHAnsi" w:cstheme="majorHAnsi"/>
                <w:sz w:val="24"/>
                <w:szCs w:val="24"/>
                <w:lang w:val="es-CO" w:eastAsia="es-CO"/>
              </w:rPr>
            </w:pPr>
          </w:p>
          <w:p w:rsidR="006D4B3D" w:rsidRPr="00001B6D" w:rsidRDefault="006D4B3D" w:rsidP="008B71FC">
            <w:pPr>
              <w:ind w:left="710" w:right="214" w:hanging="2"/>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El proyecto normativo pretende adicionar el Decreto 1080 de 2015, Único Reglamentario del Sector Cultura. </w:t>
            </w:r>
          </w:p>
          <w:p w:rsidR="006D4B3D" w:rsidRPr="00001B6D" w:rsidRDefault="006D4B3D" w:rsidP="008B71FC">
            <w:pPr>
              <w:ind w:left="494" w:right="214" w:hanging="283"/>
              <w:jc w:val="both"/>
              <w:rPr>
                <w:rFonts w:asciiTheme="majorHAnsi" w:hAnsiTheme="majorHAnsi" w:cstheme="majorHAnsi"/>
                <w:sz w:val="24"/>
                <w:szCs w:val="24"/>
                <w:lang w:val="es-CO" w:eastAsia="es-CO"/>
              </w:rPr>
            </w:pPr>
          </w:p>
          <w:p w:rsidR="006D4B3D" w:rsidRPr="00001B6D" w:rsidRDefault="006D4B3D" w:rsidP="008B71FC">
            <w:pPr>
              <w:ind w:left="638" w:right="214" w:hanging="427"/>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3.4 Revisión y análisis de la jurisprudencia que tenga impacto o sea relevante para la expedición del proyecto normativo (órganos de cierre de cada jurisdicción)</w:t>
            </w:r>
          </w:p>
          <w:p w:rsidR="006D4B3D" w:rsidRPr="00001B6D" w:rsidRDefault="006D4B3D" w:rsidP="00BF7D45">
            <w:pPr>
              <w:jc w:val="both"/>
              <w:rPr>
                <w:rFonts w:asciiTheme="majorHAnsi" w:hAnsiTheme="majorHAnsi" w:cstheme="majorHAnsi"/>
                <w:sz w:val="24"/>
                <w:szCs w:val="24"/>
                <w:lang w:val="es-CO" w:eastAsia="es-CO"/>
              </w:rPr>
            </w:pPr>
          </w:p>
          <w:p w:rsidR="006D4B3D" w:rsidRPr="00001B6D" w:rsidRDefault="006D4B3D" w:rsidP="00BF7D45">
            <w:pPr>
              <w:ind w:left="563" w:hanging="283"/>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     No hay procesos judiciales en curso relacionados con la ley</w:t>
            </w:r>
            <w:r w:rsidR="00BF7D45" w:rsidRPr="00001B6D">
              <w:rPr>
                <w:rFonts w:asciiTheme="majorHAnsi" w:hAnsiTheme="majorHAnsi" w:cstheme="majorHAnsi"/>
                <w:sz w:val="24"/>
                <w:szCs w:val="24"/>
                <w:lang w:val="es-CO" w:eastAsia="es-CO"/>
              </w:rPr>
              <w:t xml:space="preserve"> 2062</w:t>
            </w:r>
            <w:r w:rsidRPr="00001B6D">
              <w:rPr>
                <w:rFonts w:asciiTheme="majorHAnsi" w:hAnsiTheme="majorHAnsi" w:cstheme="majorHAnsi"/>
                <w:sz w:val="24"/>
                <w:szCs w:val="24"/>
                <w:lang w:val="es-CO" w:eastAsia="es-CO"/>
              </w:rPr>
              <w:t xml:space="preserve"> de 2020, ni con los aspectos que se propone adicionar al Decreto 1080 de 2015.</w:t>
            </w:r>
          </w:p>
          <w:p w:rsidR="006D4B3D" w:rsidRPr="00001B6D" w:rsidRDefault="006D4B3D" w:rsidP="008B71FC">
            <w:pPr>
              <w:ind w:left="494" w:hanging="283"/>
              <w:jc w:val="both"/>
              <w:rPr>
                <w:rFonts w:asciiTheme="majorHAnsi" w:hAnsiTheme="majorHAnsi" w:cstheme="majorHAnsi"/>
                <w:sz w:val="24"/>
                <w:szCs w:val="24"/>
                <w:lang w:val="es-CO" w:eastAsia="es-CO"/>
              </w:rPr>
            </w:pPr>
          </w:p>
          <w:p w:rsidR="006D4B3D" w:rsidRPr="00001B6D" w:rsidRDefault="006D4B3D" w:rsidP="008B71FC">
            <w:pPr>
              <w:ind w:left="494" w:hanging="283"/>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3.5 Circunstancias jurídicas adicionales </w:t>
            </w:r>
          </w:p>
          <w:p w:rsidR="006D4B3D" w:rsidRPr="00001B6D" w:rsidRDefault="006D4B3D" w:rsidP="008B71FC">
            <w:pPr>
              <w:ind w:left="494" w:hanging="283"/>
              <w:jc w:val="both"/>
              <w:rPr>
                <w:rFonts w:asciiTheme="majorHAnsi" w:hAnsiTheme="majorHAnsi" w:cstheme="majorHAnsi"/>
                <w:sz w:val="24"/>
                <w:szCs w:val="24"/>
                <w:lang w:val="es-CO" w:eastAsia="es-CO"/>
              </w:rPr>
            </w:pPr>
          </w:p>
          <w:p w:rsidR="006D4B3D" w:rsidRPr="00001B6D" w:rsidRDefault="006D4B3D" w:rsidP="008B71FC">
            <w:pPr>
              <w:ind w:left="494" w:hanging="283"/>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     No se evidencias circunstancias jurídicas adicionales.  </w:t>
            </w:r>
          </w:p>
          <w:p w:rsidR="006D4B3D" w:rsidRPr="00001B6D" w:rsidRDefault="006D4B3D" w:rsidP="008B71FC">
            <w:pPr>
              <w:ind w:left="494" w:hanging="283"/>
              <w:jc w:val="both"/>
              <w:rPr>
                <w:rFonts w:asciiTheme="majorHAnsi" w:hAnsiTheme="majorHAnsi" w:cstheme="majorHAnsi"/>
                <w:sz w:val="24"/>
                <w:szCs w:val="24"/>
                <w:lang w:val="es-CO" w:eastAsia="es-CO"/>
              </w:rPr>
            </w:pPr>
          </w:p>
          <w:p w:rsidR="006D4B3D" w:rsidRPr="00001B6D" w:rsidRDefault="006D4B3D" w:rsidP="008B71FC">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4"/>
                <w:szCs w:val="24"/>
                <w:lang w:val="es-CO" w:eastAsia="es-CO"/>
              </w:rPr>
            </w:pPr>
          </w:p>
        </w:tc>
      </w:tr>
      <w:tr w:rsidR="006D4B3D" w:rsidRPr="00001B6D" w:rsidTr="006F4A83">
        <w:trPr>
          <w:trHeight w:val="925"/>
        </w:trPr>
        <w:tc>
          <w:tcPr>
            <w:tcW w:w="108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D4B3D" w:rsidRPr="00001B6D" w:rsidRDefault="006D4B3D" w:rsidP="008B71FC">
            <w:pPr>
              <w:rPr>
                <w:rFonts w:asciiTheme="majorHAnsi" w:hAnsiTheme="majorHAnsi" w:cstheme="majorHAnsi"/>
                <w:b/>
                <w:color w:val="000000"/>
                <w:sz w:val="24"/>
                <w:szCs w:val="24"/>
              </w:rPr>
            </w:pPr>
          </w:p>
          <w:p w:rsidR="006D4B3D" w:rsidRPr="00001B6D" w:rsidRDefault="006D4B3D" w:rsidP="006D4B3D">
            <w:pPr>
              <w:numPr>
                <w:ilvl w:val="0"/>
                <w:numId w:val="2"/>
              </w:numPr>
              <w:rPr>
                <w:rFonts w:asciiTheme="majorHAnsi" w:hAnsiTheme="majorHAnsi" w:cstheme="majorHAnsi"/>
                <w:b/>
                <w:color w:val="000000"/>
                <w:sz w:val="24"/>
                <w:szCs w:val="24"/>
              </w:rPr>
            </w:pPr>
            <w:r w:rsidRPr="00001B6D">
              <w:rPr>
                <w:rFonts w:asciiTheme="majorHAnsi" w:hAnsiTheme="majorHAnsi" w:cstheme="majorHAnsi"/>
                <w:b/>
                <w:color w:val="000000"/>
                <w:sz w:val="24"/>
                <w:szCs w:val="24"/>
              </w:rPr>
              <w:t xml:space="preserve">IMPACTO ECONÓMICO </w:t>
            </w:r>
            <w:r w:rsidRPr="00001B6D">
              <w:rPr>
                <w:rFonts w:asciiTheme="majorHAnsi" w:hAnsiTheme="majorHAnsi" w:cstheme="majorHAnsi"/>
                <w:color w:val="000000"/>
                <w:sz w:val="24"/>
                <w:szCs w:val="24"/>
              </w:rPr>
              <w:t>(Si se requiere)</w:t>
            </w:r>
          </w:p>
          <w:p w:rsidR="006D4B3D" w:rsidRPr="00001B6D" w:rsidRDefault="006D4B3D" w:rsidP="008B71FC">
            <w:pPr>
              <w:jc w:val="both"/>
              <w:rPr>
                <w:rFonts w:asciiTheme="majorHAnsi" w:hAnsiTheme="majorHAnsi" w:cstheme="majorHAnsi"/>
                <w:i/>
                <w:color w:val="808080"/>
                <w:sz w:val="24"/>
                <w:szCs w:val="24"/>
              </w:rPr>
            </w:pPr>
          </w:p>
          <w:p w:rsidR="005A7D19" w:rsidRPr="00001B6D" w:rsidRDefault="006D4B3D" w:rsidP="005A7D19">
            <w:pPr>
              <w:ind w:left="494"/>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De acuerdo con lo establecido </w:t>
            </w:r>
            <w:r w:rsidR="00BF7D45" w:rsidRPr="00001B6D">
              <w:rPr>
                <w:rFonts w:asciiTheme="majorHAnsi" w:hAnsiTheme="majorHAnsi" w:cstheme="majorHAnsi"/>
                <w:sz w:val="24"/>
                <w:szCs w:val="24"/>
                <w:lang w:val="es-CO" w:eastAsia="es-CO"/>
              </w:rPr>
              <w:t xml:space="preserve">en la Ley 2062 de 2020, son varios los objetivos de la misma, siendo el más importante el relacionado con la promoción de escenarios culturales a manera de homenaje a la ciudad de Bucaramanga, </w:t>
            </w:r>
            <w:r w:rsidR="005A7D19" w:rsidRPr="00001B6D">
              <w:rPr>
                <w:rFonts w:asciiTheme="majorHAnsi" w:hAnsiTheme="majorHAnsi" w:cstheme="majorHAnsi"/>
                <w:sz w:val="24"/>
                <w:szCs w:val="24"/>
                <w:lang w:val="es-CO" w:eastAsia="es-CO"/>
              </w:rPr>
              <w:t xml:space="preserve">todo </w:t>
            </w:r>
            <w:r w:rsidR="00BF7D45" w:rsidRPr="00001B6D">
              <w:rPr>
                <w:rFonts w:asciiTheme="majorHAnsi" w:hAnsiTheme="majorHAnsi" w:cstheme="majorHAnsi"/>
                <w:sz w:val="24"/>
                <w:szCs w:val="24"/>
                <w:lang w:val="es-CO" w:eastAsia="es-CO"/>
              </w:rPr>
              <w:t>a propósito de los 400 años desde su fundación</w:t>
            </w:r>
            <w:r w:rsidR="005A7D19" w:rsidRPr="00001B6D">
              <w:rPr>
                <w:rFonts w:asciiTheme="majorHAnsi" w:hAnsiTheme="majorHAnsi" w:cstheme="majorHAnsi"/>
                <w:sz w:val="24"/>
                <w:szCs w:val="24"/>
                <w:lang w:val="es-CO" w:eastAsia="es-CO"/>
              </w:rPr>
              <w:t xml:space="preserve">. </w:t>
            </w:r>
          </w:p>
          <w:p w:rsidR="005A7D19" w:rsidRPr="00001B6D" w:rsidRDefault="005A7D19" w:rsidP="005A7D19">
            <w:pPr>
              <w:ind w:left="494"/>
              <w:jc w:val="both"/>
              <w:rPr>
                <w:rFonts w:asciiTheme="majorHAnsi" w:hAnsiTheme="majorHAnsi" w:cstheme="majorHAnsi"/>
                <w:sz w:val="24"/>
                <w:szCs w:val="24"/>
                <w:lang w:val="es-CO" w:eastAsia="es-CO"/>
              </w:rPr>
            </w:pPr>
          </w:p>
          <w:p w:rsidR="006D4B3D" w:rsidRPr="00001B6D" w:rsidRDefault="005A7D19" w:rsidP="005A7D19">
            <w:pPr>
              <w:ind w:left="494"/>
              <w:jc w:val="both"/>
              <w:rPr>
                <w:rFonts w:asciiTheme="majorHAnsi" w:hAnsiTheme="majorHAnsi" w:cstheme="majorHAnsi"/>
                <w:sz w:val="24"/>
                <w:szCs w:val="24"/>
              </w:rPr>
            </w:pPr>
            <w:r w:rsidRPr="00001B6D">
              <w:rPr>
                <w:rFonts w:asciiTheme="majorHAnsi" w:hAnsiTheme="majorHAnsi" w:cstheme="majorHAnsi"/>
                <w:sz w:val="24"/>
                <w:szCs w:val="24"/>
                <w:lang w:val="es-CO" w:eastAsia="es-CO"/>
              </w:rPr>
              <w:t>En consecuencia, el impacto económico para la Nación en lo que respecta al Fondo está cubierto a partir de las partidas presupuestales que para el efecto defina el Ministerio de Hacienda y Crédito Público, recursos con los cuales se debe apalancar el “</w:t>
            </w:r>
            <w:r w:rsidRPr="00001B6D">
              <w:rPr>
                <w:rFonts w:asciiTheme="majorHAnsi" w:eastAsia="Calibri" w:hAnsiTheme="majorHAnsi" w:cstheme="majorHAnsi"/>
                <w:bCs/>
                <w:sz w:val="24"/>
                <w:szCs w:val="24"/>
                <w:lang w:val="es-CO" w:eastAsia="en-US"/>
              </w:rPr>
              <w:t>Fondo Bucaramanga 400 años”, los cuales no son los únicos, existiendo igualmente, recursos que deberán estar dispuestos para estos efectos por parte de las autoridades territoriales</w:t>
            </w:r>
            <w:r w:rsidR="006D4B3D" w:rsidRPr="00001B6D">
              <w:rPr>
                <w:rFonts w:asciiTheme="majorHAnsi" w:hAnsiTheme="majorHAnsi" w:cstheme="majorHAnsi"/>
                <w:sz w:val="24"/>
                <w:szCs w:val="24"/>
                <w:lang w:val="es-CO" w:eastAsia="es-CO"/>
              </w:rPr>
              <w:t>.</w:t>
            </w:r>
            <w:r w:rsidR="006D4B3D" w:rsidRPr="00001B6D">
              <w:rPr>
                <w:rFonts w:asciiTheme="majorHAnsi" w:hAnsiTheme="majorHAnsi" w:cstheme="majorHAnsi"/>
                <w:sz w:val="24"/>
                <w:szCs w:val="24"/>
              </w:rPr>
              <w:t xml:space="preserve"> </w:t>
            </w:r>
          </w:p>
        </w:tc>
      </w:tr>
      <w:tr w:rsidR="006D4B3D" w:rsidRPr="00001B6D" w:rsidTr="006F4A83">
        <w:trPr>
          <w:trHeight w:val="66"/>
        </w:trPr>
        <w:tc>
          <w:tcPr>
            <w:tcW w:w="108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D4B3D" w:rsidRPr="00001B6D" w:rsidRDefault="006D4B3D" w:rsidP="008B71FC">
            <w:pPr>
              <w:rPr>
                <w:rFonts w:asciiTheme="majorHAnsi" w:hAnsiTheme="majorHAnsi" w:cstheme="majorHAnsi"/>
                <w:b/>
                <w:color w:val="000000"/>
                <w:sz w:val="24"/>
                <w:szCs w:val="24"/>
              </w:rPr>
            </w:pPr>
          </w:p>
          <w:p w:rsidR="006D4B3D" w:rsidRPr="00001B6D" w:rsidRDefault="006D4B3D" w:rsidP="006D4B3D">
            <w:pPr>
              <w:numPr>
                <w:ilvl w:val="0"/>
                <w:numId w:val="2"/>
              </w:numPr>
              <w:rPr>
                <w:rFonts w:asciiTheme="majorHAnsi" w:hAnsiTheme="majorHAnsi" w:cstheme="majorHAnsi"/>
                <w:b/>
                <w:color w:val="000000"/>
                <w:sz w:val="24"/>
                <w:szCs w:val="24"/>
              </w:rPr>
            </w:pPr>
            <w:r w:rsidRPr="00001B6D">
              <w:rPr>
                <w:rFonts w:asciiTheme="majorHAnsi" w:hAnsiTheme="majorHAnsi" w:cstheme="majorHAnsi"/>
                <w:b/>
                <w:color w:val="000000"/>
                <w:sz w:val="24"/>
                <w:szCs w:val="24"/>
              </w:rPr>
              <w:t xml:space="preserve">VIABILIDAD O DISPONIBILIDAD PRESUPUESTAL </w:t>
            </w:r>
            <w:r w:rsidRPr="00001B6D">
              <w:rPr>
                <w:rFonts w:asciiTheme="majorHAnsi" w:hAnsiTheme="majorHAnsi" w:cstheme="majorHAnsi"/>
                <w:color w:val="000000"/>
                <w:sz w:val="24"/>
                <w:szCs w:val="24"/>
              </w:rPr>
              <w:t>(Si se requiere)</w:t>
            </w:r>
          </w:p>
          <w:p w:rsidR="006D4B3D" w:rsidRPr="00001B6D" w:rsidRDefault="006D4B3D" w:rsidP="008B71FC">
            <w:pPr>
              <w:jc w:val="both"/>
              <w:rPr>
                <w:rFonts w:asciiTheme="majorHAnsi" w:hAnsiTheme="majorHAnsi" w:cstheme="majorHAnsi"/>
                <w:i/>
                <w:color w:val="808080"/>
                <w:sz w:val="24"/>
                <w:szCs w:val="24"/>
              </w:rPr>
            </w:pPr>
          </w:p>
          <w:p w:rsidR="006D4B3D" w:rsidRPr="00001B6D" w:rsidRDefault="006D4B3D" w:rsidP="00001B6D">
            <w:pPr>
              <w:ind w:left="494"/>
              <w:jc w:val="both"/>
              <w:rPr>
                <w:rFonts w:asciiTheme="majorHAnsi" w:hAnsiTheme="majorHAnsi" w:cstheme="majorHAnsi"/>
                <w:sz w:val="24"/>
                <w:szCs w:val="24"/>
              </w:rPr>
            </w:pPr>
            <w:r w:rsidRPr="00001B6D">
              <w:rPr>
                <w:rFonts w:asciiTheme="majorHAnsi" w:hAnsiTheme="majorHAnsi" w:cstheme="majorHAnsi"/>
                <w:sz w:val="24"/>
                <w:szCs w:val="24"/>
                <w:lang w:val="es-CO" w:eastAsia="es-CO"/>
              </w:rPr>
              <w:t xml:space="preserve">La Ley </w:t>
            </w:r>
            <w:r w:rsidR="005A7D19" w:rsidRPr="00001B6D">
              <w:rPr>
                <w:rFonts w:asciiTheme="majorHAnsi" w:hAnsiTheme="majorHAnsi" w:cstheme="majorHAnsi"/>
                <w:sz w:val="24"/>
                <w:szCs w:val="24"/>
                <w:lang w:val="es-CO" w:eastAsia="es-CO"/>
              </w:rPr>
              <w:t>2062</w:t>
            </w:r>
            <w:r w:rsidRPr="00001B6D">
              <w:rPr>
                <w:rFonts w:asciiTheme="majorHAnsi" w:hAnsiTheme="majorHAnsi" w:cstheme="majorHAnsi"/>
                <w:sz w:val="24"/>
                <w:szCs w:val="24"/>
                <w:lang w:val="es-CO" w:eastAsia="es-CO"/>
              </w:rPr>
              <w:t xml:space="preserve"> de 2020 establece las fuentes de financiación para la conformación y funcionamiento de FONCULTURA. El monto de los recursos</w:t>
            </w:r>
            <w:r w:rsidR="005A7D19" w:rsidRPr="00001B6D">
              <w:rPr>
                <w:rFonts w:asciiTheme="majorHAnsi" w:hAnsiTheme="majorHAnsi" w:cstheme="majorHAnsi"/>
                <w:sz w:val="24"/>
                <w:szCs w:val="24"/>
                <w:lang w:val="es-CO" w:eastAsia="es-CO"/>
              </w:rPr>
              <w:t xml:space="preserve"> públicos</w:t>
            </w:r>
            <w:r w:rsidR="00540684" w:rsidRPr="00001B6D">
              <w:rPr>
                <w:rFonts w:asciiTheme="majorHAnsi" w:hAnsiTheme="majorHAnsi" w:cstheme="majorHAnsi"/>
                <w:sz w:val="24"/>
                <w:szCs w:val="24"/>
                <w:lang w:val="es-CO" w:eastAsia="es-CO"/>
              </w:rPr>
              <w:t xml:space="preserve"> destinados al Fondo - C</w:t>
            </w:r>
            <w:r w:rsidRPr="00001B6D">
              <w:rPr>
                <w:rFonts w:asciiTheme="majorHAnsi" w:hAnsiTheme="majorHAnsi" w:cstheme="majorHAnsi"/>
                <w:sz w:val="24"/>
                <w:szCs w:val="24"/>
                <w:lang w:val="es-CO" w:eastAsia="es-CO"/>
              </w:rPr>
              <w:t>uenta</w:t>
            </w:r>
            <w:r w:rsidR="005A7D19" w:rsidRPr="00001B6D">
              <w:rPr>
                <w:rFonts w:asciiTheme="majorHAnsi" w:hAnsiTheme="majorHAnsi" w:cstheme="majorHAnsi"/>
                <w:sz w:val="24"/>
                <w:szCs w:val="24"/>
                <w:lang w:val="es-CO" w:eastAsia="es-CO"/>
              </w:rPr>
              <w:t>,</w:t>
            </w:r>
            <w:r w:rsidRPr="00001B6D">
              <w:rPr>
                <w:rFonts w:asciiTheme="majorHAnsi" w:hAnsiTheme="majorHAnsi" w:cstheme="majorHAnsi"/>
                <w:sz w:val="24"/>
                <w:szCs w:val="24"/>
                <w:lang w:val="es-CO" w:eastAsia="es-CO"/>
              </w:rPr>
              <w:t xml:space="preserve"> se definirá</w:t>
            </w:r>
            <w:r w:rsidR="005A7D19" w:rsidRPr="00001B6D">
              <w:rPr>
                <w:rFonts w:asciiTheme="majorHAnsi" w:hAnsiTheme="majorHAnsi" w:cstheme="majorHAnsi"/>
                <w:sz w:val="24"/>
                <w:szCs w:val="24"/>
                <w:lang w:val="es-CO" w:eastAsia="es-CO"/>
              </w:rPr>
              <w:t xml:space="preserve"> por parte del responsable en cada Entidad, del orden nacional, departamental o municipal</w:t>
            </w:r>
            <w:r w:rsidR="00540684" w:rsidRPr="00001B6D">
              <w:rPr>
                <w:rFonts w:asciiTheme="majorHAnsi" w:hAnsiTheme="majorHAnsi" w:cstheme="majorHAnsi"/>
                <w:sz w:val="24"/>
                <w:szCs w:val="24"/>
                <w:lang w:val="es-CO" w:eastAsia="es-CO"/>
              </w:rPr>
              <w:t>.</w:t>
            </w:r>
            <w:r w:rsidRPr="00001B6D">
              <w:rPr>
                <w:rFonts w:asciiTheme="majorHAnsi" w:hAnsiTheme="majorHAnsi" w:cstheme="majorHAnsi"/>
                <w:sz w:val="24"/>
                <w:szCs w:val="24"/>
              </w:rPr>
              <w:t xml:space="preserve"> </w:t>
            </w:r>
          </w:p>
        </w:tc>
      </w:tr>
      <w:tr w:rsidR="006D4B3D" w:rsidRPr="00001B6D" w:rsidTr="006F4A83">
        <w:trPr>
          <w:trHeight w:val="696"/>
        </w:trPr>
        <w:tc>
          <w:tcPr>
            <w:tcW w:w="10840" w:type="dxa"/>
            <w:gridSpan w:val="3"/>
            <w:tcBorders>
              <w:top w:val="single" w:sz="4" w:space="0" w:color="auto"/>
              <w:bottom w:val="single" w:sz="4" w:space="0" w:color="auto"/>
            </w:tcBorders>
            <w:shd w:val="clear" w:color="auto" w:fill="FFFFFF"/>
            <w:vAlign w:val="center"/>
          </w:tcPr>
          <w:p w:rsidR="006D4B3D" w:rsidRPr="00001B6D" w:rsidRDefault="006D4B3D" w:rsidP="008B71FC">
            <w:pPr>
              <w:jc w:val="both"/>
              <w:rPr>
                <w:rFonts w:asciiTheme="majorHAnsi" w:hAnsiTheme="majorHAnsi" w:cstheme="majorHAnsi"/>
                <w:b/>
                <w:color w:val="000000"/>
                <w:sz w:val="24"/>
                <w:szCs w:val="24"/>
              </w:rPr>
            </w:pPr>
          </w:p>
          <w:p w:rsidR="006D4B3D" w:rsidRPr="00001B6D" w:rsidRDefault="006D4B3D" w:rsidP="006D4B3D">
            <w:pPr>
              <w:numPr>
                <w:ilvl w:val="0"/>
                <w:numId w:val="2"/>
              </w:numPr>
              <w:jc w:val="both"/>
              <w:rPr>
                <w:rFonts w:asciiTheme="majorHAnsi" w:hAnsiTheme="majorHAnsi" w:cstheme="majorHAnsi"/>
                <w:b/>
                <w:color w:val="000000"/>
                <w:sz w:val="24"/>
                <w:szCs w:val="24"/>
              </w:rPr>
            </w:pPr>
            <w:r w:rsidRPr="00001B6D">
              <w:rPr>
                <w:rFonts w:asciiTheme="majorHAnsi" w:hAnsiTheme="majorHAnsi" w:cstheme="majorHAnsi"/>
                <w:b/>
                <w:color w:val="000000"/>
                <w:sz w:val="24"/>
                <w:szCs w:val="24"/>
              </w:rPr>
              <w:t xml:space="preserve"> IMPACTO MEDIOAMBIENTAL O SOBRE EL PATRIMONIO CULTURAL DE LA NACIÓN </w:t>
            </w:r>
            <w:r w:rsidRPr="00001B6D">
              <w:rPr>
                <w:rFonts w:asciiTheme="majorHAnsi" w:hAnsiTheme="majorHAnsi" w:cstheme="majorHAnsi"/>
                <w:color w:val="000000"/>
                <w:sz w:val="24"/>
                <w:szCs w:val="24"/>
              </w:rPr>
              <w:t>(Si se requiere)</w:t>
            </w:r>
          </w:p>
          <w:p w:rsidR="006D4B3D" w:rsidRPr="00001B6D" w:rsidRDefault="006D4B3D" w:rsidP="008B71FC">
            <w:pPr>
              <w:ind w:left="720"/>
              <w:jc w:val="both"/>
              <w:rPr>
                <w:rFonts w:asciiTheme="majorHAnsi" w:hAnsiTheme="majorHAnsi" w:cstheme="majorHAnsi"/>
                <w:b/>
                <w:color w:val="000000"/>
                <w:sz w:val="24"/>
                <w:szCs w:val="24"/>
              </w:rPr>
            </w:pPr>
          </w:p>
          <w:p w:rsidR="006D4B3D" w:rsidRPr="00001B6D" w:rsidRDefault="00001B6D" w:rsidP="008B71FC">
            <w:pPr>
              <w:ind w:left="720"/>
              <w:jc w:val="both"/>
              <w:rPr>
                <w:rFonts w:asciiTheme="majorHAnsi" w:hAnsiTheme="majorHAnsi" w:cstheme="majorHAnsi"/>
                <w:bCs/>
                <w:color w:val="000000"/>
                <w:sz w:val="24"/>
                <w:szCs w:val="24"/>
              </w:rPr>
            </w:pPr>
            <w:r w:rsidRPr="00001B6D">
              <w:rPr>
                <w:rFonts w:asciiTheme="majorHAnsi" w:hAnsiTheme="majorHAnsi" w:cstheme="majorHAnsi"/>
                <w:bCs/>
                <w:color w:val="000000"/>
                <w:sz w:val="24"/>
                <w:szCs w:val="24"/>
              </w:rPr>
              <w:t>El proyecto de D</w:t>
            </w:r>
            <w:r w:rsidR="006D4B3D" w:rsidRPr="00001B6D">
              <w:rPr>
                <w:rFonts w:asciiTheme="majorHAnsi" w:hAnsiTheme="majorHAnsi" w:cstheme="majorHAnsi"/>
                <w:bCs/>
                <w:color w:val="000000"/>
                <w:sz w:val="24"/>
                <w:szCs w:val="24"/>
              </w:rPr>
              <w:t xml:space="preserve">ecreto no tiene impacto negativo en materia ambiental. </w:t>
            </w:r>
          </w:p>
          <w:p w:rsidR="006D4B3D" w:rsidRPr="00001B6D" w:rsidRDefault="006D4B3D" w:rsidP="00540684">
            <w:pPr>
              <w:jc w:val="both"/>
              <w:rPr>
                <w:rFonts w:asciiTheme="majorHAnsi" w:hAnsiTheme="majorHAnsi" w:cstheme="majorHAnsi"/>
                <w:i/>
                <w:color w:val="000000"/>
                <w:sz w:val="24"/>
                <w:szCs w:val="24"/>
              </w:rPr>
            </w:pPr>
          </w:p>
        </w:tc>
      </w:tr>
      <w:tr w:rsidR="006D4B3D" w:rsidRPr="00001B6D" w:rsidTr="006F4A83">
        <w:trPr>
          <w:trHeight w:val="317"/>
        </w:trPr>
        <w:tc>
          <w:tcPr>
            <w:tcW w:w="10840" w:type="dxa"/>
            <w:gridSpan w:val="3"/>
            <w:tcBorders>
              <w:top w:val="single" w:sz="4" w:space="0" w:color="auto"/>
              <w:bottom w:val="single" w:sz="4" w:space="0" w:color="auto"/>
            </w:tcBorders>
            <w:shd w:val="clear" w:color="auto" w:fill="FFFFFF"/>
            <w:vAlign w:val="center"/>
          </w:tcPr>
          <w:p w:rsidR="006D4B3D" w:rsidRPr="00001B6D" w:rsidRDefault="006D4B3D" w:rsidP="006D4B3D">
            <w:pPr>
              <w:numPr>
                <w:ilvl w:val="0"/>
                <w:numId w:val="2"/>
              </w:numPr>
              <w:jc w:val="both"/>
              <w:rPr>
                <w:rFonts w:asciiTheme="majorHAnsi" w:hAnsiTheme="majorHAnsi" w:cstheme="majorHAnsi"/>
                <w:sz w:val="24"/>
                <w:szCs w:val="24"/>
              </w:rPr>
            </w:pPr>
            <w:r w:rsidRPr="00001B6D">
              <w:rPr>
                <w:rFonts w:asciiTheme="majorHAnsi" w:hAnsiTheme="majorHAnsi" w:cstheme="majorHAnsi"/>
                <w:b/>
                <w:sz w:val="24"/>
                <w:szCs w:val="24"/>
              </w:rPr>
              <w:t>ESTUDIOS TÉCNICOS QUE SUSTENTEN EL PROYECTO NORMATIVO</w:t>
            </w:r>
            <w:r w:rsidRPr="00001B6D">
              <w:rPr>
                <w:rFonts w:asciiTheme="majorHAnsi" w:hAnsiTheme="majorHAnsi" w:cstheme="majorHAnsi"/>
                <w:sz w:val="24"/>
                <w:szCs w:val="24"/>
              </w:rPr>
              <w:t xml:space="preserve"> (Si cuenta con ellos) </w:t>
            </w:r>
          </w:p>
        </w:tc>
      </w:tr>
      <w:tr w:rsidR="006D4B3D" w:rsidRPr="00001B6D" w:rsidTr="006F4A83">
        <w:trPr>
          <w:trHeight w:val="66"/>
        </w:trPr>
        <w:tc>
          <w:tcPr>
            <w:tcW w:w="10840" w:type="dxa"/>
            <w:gridSpan w:val="3"/>
            <w:tcBorders>
              <w:top w:val="single" w:sz="4" w:space="0" w:color="auto"/>
              <w:bottom w:val="single" w:sz="4" w:space="0" w:color="auto"/>
            </w:tcBorders>
            <w:shd w:val="clear" w:color="auto" w:fill="FFFFFF"/>
            <w:vAlign w:val="center"/>
          </w:tcPr>
          <w:p w:rsidR="006D4B3D" w:rsidRPr="00001B6D" w:rsidRDefault="006D4B3D" w:rsidP="008B71FC">
            <w:pPr>
              <w:rPr>
                <w:rFonts w:asciiTheme="majorHAnsi" w:hAnsiTheme="majorHAnsi" w:cstheme="majorHAnsi"/>
                <w:color w:val="000000"/>
                <w:sz w:val="24"/>
                <w:szCs w:val="24"/>
              </w:rPr>
            </w:pPr>
            <w:r w:rsidRPr="00001B6D">
              <w:rPr>
                <w:rFonts w:asciiTheme="majorHAnsi" w:hAnsiTheme="majorHAnsi" w:cstheme="majorHAnsi"/>
                <w:color w:val="000000"/>
                <w:sz w:val="24"/>
                <w:szCs w:val="24"/>
              </w:rPr>
              <w:t xml:space="preserve">           No aplica. </w:t>
            </w:r>
          </w:p>
        </w:tc>
      </w:tr>
      <w:tr w:rsidR="006D4B3D" w:rsidRPr="00001B6D" w:rsidTr="006F4A83">
        <w:trPr>
          <w:trHeight w:val="66"/>
        </w:trPr>
        <w:tc>
          <w:tcPr>
            <w:tcW w:w="10840" w:type="dxa"/>
            <w:gridSpan w:val="3"/>
            <w:tcBorders>
              <w:top w:val="single" w:sz="4" w:space="0" w:color="auto"/>
              <w:bottom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p>
        </w:tc>
      </w:tr>
      <w:tr w:rsidR="006D4B3D" w:rsidRPr="00001B6D" w:rsidTr="006F4A83">
        <w:trPr>
          <w:trHeight w:val="416"/>
        </w:trPr>
        <w:tc>
          <w:tcPr>
            <w:tcW w:w="10840" w:type="dxa"/>
            <w:gridSpan w:val="3"/>
            <w:tcBorders>
              <w:top w:val="single" w:sz="4" w:space="0" w:color="auto"/>
              <w:bottom w:val="single" w:sz="4" w:space="0" w:color="auto"/>
            </w:tcBorders>
            <w:shd w:val="clear" w:color="auto" w:fill="5B8AFF"/>
            <w:vAlign w:val="center"/>
          </w:tcPr>
          <w:p w:rsidR="006D4B3D" w:rsidRPr="00001B6D" w:rsidRDefault="006D4B3D" w:rsidP="008B71FC">
            <w:pPr>
              <w:jc w:val="center"/>
              <w:rPr>
                <w:rFonts w:asciiTheme="majorHAnsi" w:hAnsiTheme="majorHAnsi" w:cstheme="majorHAnsi"/>
                <w:color w:val="FFFFFF"/>
                <w:sz w:val="24"/>
                <w:szCs w:val="24"/>
              </w:rPr>
            </w:pPr>
            <w:r w:rsidRPr="00001B6D">
              <w:rPr>
                <w:rFonts w:asciiTheme="majorHAnsi" w:hAnsiTheme="majorHAnsi" w:cstheme="majorHAnsi"/>
                <w:b/>
                <w:color w:val="FFFFFF"/>
                <w:sz w:val="24"/>
                <w:szCs w:val="24"/>
              </w:rPr>
              <w:t>ANEXOS:</w:t>
            </w:r>
            <w:r w:rsidRPr="00001B6D">
              <w:rPr>
                <w:rFonts w:asciiTheme="majorHAnsi" w:hAnsiTheme="majorHAnsi" w:cstheme="majorHAnsi"/>
                <w:color w:val="FFFFFF"/>
                <w:sz w:val="24"/>
                <w:szCs w:val="24"/>
              </w:rPr>
              <w:t xml:space="preserve"> </w:t>
            </w:r>
          </w:p>
        </w:tc>
      </w:tr>
      <w:tr w:rsidR="006D4B3D" w:rsidRPr="00001B6D" w:rsidTr="006F4A83">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sz w:val="24"/>
                <w:szCs w:val="24"/>
              </w:rPr>
              <w:t xml:space="preserve">Certificación de cumplimiento de requisitos de consulta, publicidad y de incorporación en la agenda regulatoria </w:t>
            </w:r>
          </w:p>
          <w:p w:rsidR="006D4B3D" w:rsidRPr="00001B6D" w:rsidRDefault="006D4B3D" w:rsidP="008B71FC">
            <w:pPr>
              <w:jc w:val="both"/>
              <w:rPr>
                <w:rFonts w:asciiTheme="majorHAnsi" w:hAnsiTheme="majorHAnsi" w:cstheme="majorHAnsi"/>
                <w:i/>
                <w:color w:val="808080"/>
                <w:sz w:val="24"/>
                <w:szCs w:val="24"/>
                <w:highlight w:val="yellow"/>
              </w:rPr>
            </w:pPr>
            <w:r w:rsidRPr="00001B6D">
              <w:rPr>
                <w:rFonts w:asciiTheme="majorHAnsi" w:hAnsiTheme="majorHAnsi" w:cstheme="majorHAnsi"/>
                <w:i/>
                <w:color w:val="808080"/>
                <w:sz w:val="24"/>
                <w:szCs w:val="24"/>
              </w:rPr>
              <w:t>(Firmada por el servidor público competente –entidad originadora)</w:t>
            </w:r>
          </w:p>
        </w:tc>
        <w:tc>
          <w:tcPr>
            <w:tcW w:w="3185" w:type="dxa"/>
            <w:tcBorders>
              <w:top w:val="single" w:sz="4" w:space="0" w:color="auto"/>
              <w:left w:val="single" w:sz="4" w:space="0" w:color="auto"/>
              <w:bottom w:val="single" w:sz="4" w:space="0" w:color="auto"/>
            </w:tcBorders>
            <w:shd w:val="clear" w:color="auto" w:fill="FFFFFF"/>
            <w:vAlign w:val="center"/>
          </w:tcPr>
          <w:p w:rsidR="006D4B3D" w:rsidRPr="00001B6D" w:rsidRDefault="00001B6D" w:rsidP="008B71FC">
            <w:pPr>
              <w:rPr>
                <w:rFonts w:asciiTheme="majorHAnsi" w:hAnsiTheme="majorHAnsi" w:cstheme="majorHAnsi"/>
                <w:i/>
                <w:color w:val="FF0000"/>
                <w:sz w:val="24"/>
                <w:szCs w:val="24"/>
                <w:highlight w:val="yellow"/>
              </w:rPr>
            </w:pPr>
            <w:r w:rsidRPr="00001B6D">
              <w:rPr>
                <w:rFonts w:asciiTheme="majorHAnsi" w:hAnsiTheme="majorHAnsi" w:cstheme="majorHAnsi"/>
                <w:i/>
                <w:color w:val="808080"/>
                <w:sz w:val="24"/>
                <w:szCs w:val="24"/>
              </w:rPr>
              <w:t>x</w:t>
            </w:r>
          </w:p>
        </w:tc>
      </w:tr>
      <w:tr w:rsidR="006D4B3D" w:rsidRPr="00001B6D" w:rsidTr="006F4A83">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sz w:val="24"/>
                <w:szCs w:val="24"/>
              </w:rPr>
              <w:t>Concepto(s) de Ministerio de Comercio, Industria y Turismo</w:t>
            </w:r>
          </w:p>
          <w:p w:rsidR="006D4B3D" w:rsidRPr="00001B6D" w:rsidRDefault="006D4B3D" w:rsidP="008B71FC">
            <w:pPr>
              <w:jc w:val="both"/>
              <w:rPr>
                <w:rFonts w:asciiTheme="majorHAnsi" w:hAnsiTheme="majorHAnsi" w:cstheme="majorHAnsi"/>
                <w:i/>
                <w:color w:val="808080"/>
                <w:sz w:val="24"/>
                <w:szCs w:val="24"/>
              </w:rPr>
            </w:pPr>
            <w:r w:rsidRPr="00001B6D">
              <w:rPr>
                <w:rFonts w:asciiTheme="majorHAnsi" w:hAnsiTheme="majorHAnsi" w:cstheme="majorHAnsi"/>
                <w:i/>
                <w:color w:val="808080"/>
                <w:sz w:val="24"/>
                <w:szCs w:val="24"/>
              </w:rPr>
              <w:t>(Cuando se trate de un proyecto de reglamento técnico o de procedimientos de evaluación de conformidad)</w:t>
            </w:r>
          </w:p>
        </w:tc>
        <w:tc>
          <w:tcPr>
            <w:tcW w:w="3185" w:type="dxa"/>
            <w:tcBorders>
              <w:top w:val="single" w:sz="4" w:space="0" w:color="auto"/>
              <w:left w:val="single" w:sz="4" w:space="0" w:color="auto"/>
              <w:bottom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i/>
                <w:color w:val="808080"/>
                <w:sz w:val="24"/>
                <w:szCs w:val="24"/>
              </w:rPr>
              <w:t>No es reglamento técnico o procedimiento de evaluación de conformidad</w:t>
            </w:r>
          </w:p>
        </w:tc>
      </w:tr>
      <w:tr w:rsidR="006D4B3D" w:rsidRPr="00001B6D" w:rsidTr="006F4A83">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sz w:val="24"/>
                <w:szCs w:val="24"/>
              </w:rPr>
              <w:t xml:space="preserve">Informe de observaciones y respuestas </w:t>
            </w:r>
          </w:p>
          <w:p w:rsidR="006D4B3D" w:rsidRPr="00001B6D" w:rsidRDefault="006D4B3D" w:rsidP="008B71FC">
            <w:pPr>
              <w:jc w:val="both"/>
              <w:rPr>
                <w:rFonts w:asciiTheme="majorHAnsi" w:hAnsiTheme="majorHAnsi" w:cstheme="majorHAnsi"/>
                <w:i/>
                <w:color w:val="808080"/>
                <w:sz w:val="24"/>
                <w:szCs w:val="24"/>
              </w:rPr>
            </w:pPr>
            <w:r w:rsidRPr="00001B6D">
              <w:rPr>
                <w:rFonts w:asciiTheme="majorHAnsi" w:hAnsiTheme="majorHAnsi" w:cstheme="majorHAnsi"/>
                <w:i/>
                <w:color w:val="808080"/>
                <w:sz w:val="24"/>
                <w:szCs w:val="24"/>
              </w:rPr>
              <w:t>(Análisis del informe con la evaluación de las observaciones de los ciudadanos y grupos de interés sobre el proyecto normativo)</w:t>
            </w:r>
          </w:p>
        </w:tc>
        <w:tc>
          <w:tcPr>
            <w:tcW w:w="3185" w:type="dxa"/>
            <w:tcBorders>
              <w:top w:val="single" w:sz="4" w:space="0" w:color="auto"/>
              <w:left w:val="single" w:sz="4" w:space="0" w:color="auto"/>
              <w:bottom w:val="single" w:sz="4" w:space="0" w:color="auto"/>
            </w:tcBorders>
            <w:shd w:val="clear" w:color="auto" w:fill="FFFFFF"/>
            <w:vAlign w:val="center"/>
          </w:tcPr>
          <w:p w:rsidR="006D4B3D" w:rsidRPr="00001B6D" w:rsidRDefault="00001B6D" w:rsidP="008B71FC">
            <w:pPr>
              <w:jc w:val="both"/>
              <w:rPr>
                <w:rFonts w:asciiTheme="majorHAnsi" w:hAnsiTheme="majorHAnsi" w:cstheme="majorHAnsi"/>
                <w:sz w:val="24"/>
                <w:szCs w:val="24"/>
              </w:rPr>
            </w:pPr>
            <w:r w:rsidRPr="00001B6D">
              <w:rPr>
                <w:rFonts w:asciiTheme="majorHAnsi" w:hAnsiTheme="majorHAnsi" w:cstheme="majorHAnsi"/>
                <w:i/>
                <w:color w:val="808080"/>
                <w:sz w:val="24"/>
                <w:szCs w:val="24"/>
              </w:rPr>
              <w:t>x</w:t>
            </w:r>
          </w:p>
        </w:tc>
      </w:tr>
      <w:tr w:rsidR="006D4B3D" w:rsidRPr="00001B6D" w:rsidTr="006F4A83">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sz w:val="24"/>
                <w:szCs w:val="24"/>
              </w:rPr>
              <w:t>Concepto de Abogacía de la Competencia de la Superintendencia de Industria y Comercio</w:t>
            </w:r>
          </w:p>
          <w:p w:rsidR="006D4B3D" w:rsidRPr="00001B6D" w:rsidRDefault="006D4B3D" w:rsidP="008B71FC">
            <w:pPr>
              <w:jc w:val="both"/>
              <w:rPr>
                <w:rFonts w:asciiTheme="majorHAnsi" w:hAnsiTheme="majorHAnsi" w:cstheme="majorHAnsi"/>
                <w:i/>
                <w:color w:val="808080"/>
                <w:sz w:val="24"/>
                <w:szCs w:val="24"/>
              </w:rPr>
            </w:pPr>
            <w:r w:rsidRPr="00001B6D">
              <w:rPr>
                <w:rFonts w:asciiTheme="majorHAnsi" w:hAnsiTheme="majorHAnsi" w:cstheme="majorHAnsi"/>
                <w:i/>
                <w:color w:val="808080"/>
                <w:sz w:val="24"/>
                <w:szCs w:val="24"/>
              </w:rPr>
              <w:t>(Cuando los proyectos normativos tengan incidencia en la libre competencia de los mercados)</w:t>
            </w:r>
          </w:p>
        </w:tc>
        <w:tc>
          <w:tcPr>
            <w:tcW w:w="3185" w:type="dxa"/>
            <w:tcBorders>
              <w:top w:val="single" w:sz="4" w:space="0" w:color="auto"/>
              <w:left w:val="single" w:sz="4" w:space="0" w:color="auto"/>
              <w:bottom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i/>
                <w:color w:val="808080"/>
                <w:sz w:val="24"/>
                <w:szCs w:val="24"/>
              </w:rPr>
              <w:t>No tiene incidencia en libre competencia de los mercados</w:t>
            </w:r>
          </w:p>
        </w:tc>
      </w:tr>
      <w:tr w:rsidR="006D4B3D" w:rsidRPr="00001B6D" w:rsidTr="006F4A83">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sz w:val="24"/>
                <w:szCs w:val="24"/>
              </w:rPr>
              <w:t>Concepto de aprobación nuevos trámites del Departamento Administrativo de la Función Pública</w:t>
            </w:r>
          </w:p>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i/>
                <w:color w:val="808080"/>
                <w:sz w:val="24"/>
                <w:szCs w:val="24"/>
              </w:rPr>
              <w:t>(Cuando el proyecto normativo adopte o modifique un trámite)</w:t>
            </w:r>
          </w:p>
        </w:tc>
        <w:tc>
          <w:tcPr>
            <w:tcW w:w="3185" w:type="dxa"/>
            <w:tcBorders>
              <w:top w:val="single" w:sz="4" w:space="0" w:color="auto"/>
              <w:left w:val="single" w:sz="4" w:space="0" w:color="auto"/>
              <w:bottom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i/>
                <w:color w:val="808080"/>
                <w:sz w:val="24"/>
                <w:szCs w:val="24"/>
              </w:rPr>
              <w:t>No adopta o modifica trámite</w:t>
            </w:r>
          </w:p>
        </w:tc>
      </w:tr>
      <w:tr w:rsidR="006D4B3D" w:rsidRPr="00001B6D" w:rsidTr="006F4A83">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sz w:val="24"/>
                <w:szCs w:val="24"/>
              </w:rPr>
              <w:t xml:space="preserve">Otro </w:t>
            </w:r>
          </w:p>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i/>
                <w:color w:val="808080"/>
                <w:sz w:val="24"/>
                <w:szCs w:val="24"/>
              </w:rPr>
              <w:t>(Cualquier otro aspecto que la entidad originadora de la norma considere relevante o de importancia)</w:t>
            </w:r>
          </w:p>
        </w:tc>
        <w:tc>
          <w:tcPr>
            <w:tcW w:w="3185" w:type="dxa"/>
            <w:tcBorders>
              <w:top w:val="single" w:sz="4" w:space="0" w:color="auto"/>
              <w:left w:val="single" w:sz="4" w:space="0" w:color="auto"/>
              <w:bottom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i/>
                <w:color w:val="808080"/>
                <w:sz w:val="24"/>
                <w:szCs w:val="24"/>
              </w:rPr>
              <w:t>N/A</w:t>
            </w:r>
          </w:p>
        </w:tc>
      </w:tr>
    </w:tbl>
    <w:p w:rsidR="006D4B3D" w:rsidRPr="00001B6D" w:rsidRDefault="006D4B3D" w:rsidP="006D4B3D">
      <w:pPr>
        <w:ind w:right="-377"/>
        <w:jc w:val="both"/>
        <w:rPr>
          <w:rFonts w:asciiTheme="majorHAnsi" w:hAnsiTheme="majorHAnsi" w:cstheme="majorHAnsi"/>
          <w:sz w:val="24"/>
          <w:szCs w:val="24"/>
        </w:rPr>
      </w:pPr>
    </w:p>
    <w:p w:rsidR="006D4B3D" w:rsidRPr="00EF76D8" w:rsidRDefault="006D4B3D" w:rsidP="006D4B3D">
      <w:pPr>
        <w:ind w:left="-1276" w:right="-377" w:firstLine="283"/>
        <w:jc w:val="both"/>
        <w:rPr>
          <w:rFonts w:asciiTheme="majorHAnsi" w:hAnsiTheme="majorHAnsi" w:cstheme="majorHAnsi"/>
          <w:sz w:val="24"/>
          <w:szCs w:val="24"/>
        </w:rPr>
      </w:pPr>
      <w:r w:rsidRPr="00EF76D8">
        <w:rPr>
          <w:rFonts w:asciiTheme="majorHAnsi" w:hAnsiTheme="majorHAnsi" w:cstheme="majorHAnsi"/>
          <w:sz w:val="24"/>
          <w:szCs w:val="24"/>
        </w:rPr>
        <w:t>Aprobó:</w:t>
      </w:r>
    </w:p>
    <w:p w:rsidR="006D4B3D" w:rsidRPr="00001B6D" w:rsidRDefault="006D4B3D" w:rsidP="006D4B3D">
      <w:pPr>
        <w:ind w:left="-1276" w:right="-377"/>
        <w:jc w:val="both"/>
        <w:rPr>
          <w:rFonts w:asciiTheme="majorHAnsi" w:hAnsiTheme="majorHAnsi" w:cstheme="majorHAnsi"/>
          <w:sz w:val="24"/>
          <w:szCs w:val="24"/>
        </w:rPr>
      </w:pPr>
    </w:p>
    <w:p w:rsidR="006D4B3D" w:rsidRPr="00001B6D" w:rsidRDefault="006D4B3D" w:rsidP="00EF76D8">
      <w:pPr>
        <w:jc w:val="both"/>
        <w:rPr>
          <w:rFonts w:asciiTheme="majorHAnsi" w:hAnsiTheme="majorHAnsi" w:cstheme="majorHAnsi"/>
          <w:sz w:val="24"/>
          <w:szCs w:val="24"/>
        </w:rPr>
      </w:pPr>
    </w:p>
    <w:p w:rsidR="006D4B3D" w:rsidRPr="00001B6D" w:rsidRDefault="00001B6D" w:rsidP="00EF76D8">
      <w:pPr>
        <w:ind w:left="-993" w:right="-801"/>
        <w:jc w:val="both"/>
        <w:rPr>
          <w:rFonts w:asciiTheme="majorHAnsi" w:hAnsiTheme="majorHAnsi" w:cstheme="majorHAnsi"/>
          <w:b/>
          <w:sz w:val="24"/>
          <w:szCs w:val="24"/>
        </w:rPr>
      </w:pPr>
      <w:r w:rsidRPr="00001B6D">
        <w:rPr>
          <w:rFonts w:asciiTheme="majorHAnsi" w:hAnsiTheme="majorHAnsi" w:cstheme="majorHAnsi"/>
          <w:b/>
          <w:sz w:val="24"/>
          <w:szCs w:val="24"/>
        </w:rPr>
        <w:t>JOSÉ IGNACIO ARGOTE LÓPEZ</w:t>
      </w:r>
      <w:r w:rsidR="006D4B3D" w:rsidRPr="00001B6D">
        <w:rPr>
          <w:rFonts w:asciiTheme="majorHAnsi" w:hAnsiTheme="majorHAnsi" w:cstheme="majorHAnsi"/>
          <w:b/>
          <w:sz w:val="24"/>
          <w:szCs w:val="24"/>
        </w:rPr>
        <w:tab/>
      </w:r>
      <w:r w:rsidR="006D4B3D" w:rsidRPr="00001B6D">
        <w:rPr>
          <w:rFonts w:asciiTheme="majorHAnsi" w:hAnsiTheme="majorHAnsi" w:cstheme="majorHAnsi"/>
          <w:b/>
          <w:sz w:val="24"/>
          <w:szCs w:val="24"/>
        </w:rPr>
        <w:tab/>
      </w:r>
      <w:r w:rsidR="006D4B3D" w:rsidRPr="00001B6D">
        <w:rPr>
          <w:rFonts w:asciiTheme="majorHAnsi" w:hAnsiTheme="majorHAnsi" w:cstheme="majorHAnsi"/>
          <w:b/>
          <w:sz w:val="24"/>
          <w:szCs w:val="24"/>
        </w:rPr>
        <w:tab/>
      </w:r>
      <w:r w:rsidR="006D4B3D" w:rsidRPr="00001B6D">
        <w:rPr>
          <w:rFonts w:asciiTheme="majorHAnsi" w:hAnsiTheme="majorHAnsi" w:cstheme="majorHAnsi"/>
          <w:b/>
          <w:sz w:val="24"/>
          <w:szCs w:val="24"/>
        </w:rPr>
        <w:tab/>
        <w:t xml:space="preserve"> </w:t>
      </w:r>
    </w:p>
    <w:p w:rsidR="006D4B3D" w:rsidRPr="00001B6D" w:rsidRDefault="00001B6D" w:rsidP="00EF76D8">
      <w:pPr>
        <w:ind w:right="-801" w:hanging="993"/>
        <w:jc w:val="both"/>
        <w:rPr>
          <w:rFonts w:asciiTheme="majorHAnsi" w:hAnsiTheme="majorHAnsi" w:cstheme="majorHAnsi"/>
          <w:b/>
          <w:sz w:val="24"/>
          <w:szCs w:val="24"/>
        </w:rPr>
      </w:pPr>
      <w:r w:rsidRPr="00001B6D">
        <w:rPr>
          <w:rFonts w:asciiTheme="majorHAnsi" w:hAnsiTheme="majorHAnsi" w:cstheme="majorHAnsi"/>
          <w:sz w:val="24"/>
          <w:szCs w:val="24"/>
        </w:rPr>
        <w:t>Viceministro de Fomento Regional y Patrimonio</w:t>
      </w:r>
      <w:r w:rsidR="006D4B3D" w:rsidRPr="00001B6D">
        <w:rPr>
          <w:rFonts w:asciiTheme="majorHAnsi" w:hAnsiTheme="majorHAnsi" w:cstheme="majorHAnsi"/>
          <w:sz w:val="24"/>
          <w:szCs w:val="24"/>
        </w:rPr>
        <w:tab/>
      </w:r>
      <w:r w:rsidR="006D4B3D" w:rsidRPr="00001B6D">
        <w:rPr>
          <w:rFonts w:asciiTheme="majorHAnsi" w:hAnsiTheme="majorHAnsi" w:cstheme="majorHAnsi"/>
          <w:b/>
          <w:sz w:val="24"/>
          <w:szCs w:val="24"/>
        </w:rPr>
        <w:t xml:space="preserve"> </w:t>
      </w:r>
    </w:p>
    <w:p w:rsidR="006D4B3D" w:rsidRPr="00001B6D" w:rsidRDefault="006D4B3D" w:rsidP="006D4B3D">
      <w:pPr>
        <w:ind w:left="-851"/>
        <w:jc w:val="both"/>
        <w:rPr>
          <w:rFonts w:asciiTheme="majorHAnsi" w:hAnsiTheme="majorHAnsi" w:cstheme="majorHAnsi"/>
          <w:sz w:val="24"/>
          <w:szCs w:val="24"/>
        </w:rPr>
      </w:pPr>
    </w:p>
    <w:p w:rsidR="006D4B3D" w:rsidRPr="00001B6D" w:rsidRDefault="006D4B3D" w:rsidP="006D4B3D">
      <w:pPr>
        <w:jc w:val="both"/>
        <w:rPr>
          <w:rFonts w:asciiTheme="majorHAnsi" w:hAnsiTheme="majorHAnsi" w:cstheme="majorHAnsi"/>
          <w:sz w:val="24"/>
          <w:szCs w:val="24"/>
        </w:rPr>
      </w:pPr>
    </w:p>
    <w:p w:rsidR="00540684" w:rsidRPr="00001B6D" w:rsidRDefault="00540684" w:rsidP="00EF76D8">
      <w:pPr>
        <w:jc w:val="both"/>
        <w:rPr>
          <w:rFonts w:asciiTheme="majorHAnsi" w:hAnsiTheme="majorHAnsi" w:cstheme="majorHAnsi"/>
          <w:sz w:val="24"/>
          <w:szCs w:val="24"/>
        </w:rPr>
      </w:pPr>
    </w:p>
    <w:p w:rsidR="00C54C63" w:rsidRDefault="00C54C63" w:rsidP="006D4B3D">
      <w:pPr>
        <w:ind w:left="-851"/>
        <w:rPr>
          <w:rFonts w:asciiTheme="majorHAnsi" w:hAnsiTheme="majorHAnsi" w:cstheme="majorHAnsi"/>
          <w:b/>
          <w:sz w:val="24"/>
          <w:szCs w:val="24"/>
        </w:rPr>
      </w:pPr>
    </w:p>
    <w:p w:rsidR="006D4B3D" w:rsidRPr="00001B6D" w:rsidRDefault="00001B6D" w:rsidP="006D4B3D">
      <w:pPr>
        <w:ind w:left="-851"/>
        <w:rPr>
          <w:rFonts w:asciiTheme="majorHAnsi" w:hAnsiTheme="majorHAnsi" w:cstheme="majorHAnsi"/>
          <w:b/>
          <w:sz w:val="24"/>
          <w:szCs w:val="24"/>
        </w:rPr>
      </w:pPr>
      <w:r w:rsidRPr="00001B6D">
        <w:rPr>
          <w:rFonts w:asciiTheme="majorHAnsi" w:hAnsiTheme="majorHAnsi" w:cstheme="majorHAnsi"/>
          <w:b/>
          <w:sz w:val="24"/>
          <w:szCs w:val="24"/>
        </w:rPr>
        <w:t>WALTER E. ASPRILLA CÁCERES</w:t>
      </w:r>
    </w:p>
    <w:p w:rsidR="006D4B3D" w:rsidRPr="00001B6D" w:rsidRDefault="006D4B3D" w:rsidP="006D4B3D">
      <w:pPr>
        <w:ind w:left="-851"/>
        <w:jc w:val="both"/>
        <w:rPr>
          <w:rFonts w:asciiTheme="majorHAnsi" w:hAnsiTheme="majorHAnsi" w:cstheme="majorHAnsi"/>
          <w:sz w:val="24"/>
          <w:szCs w:val="24"/>
        </w:rPr>
      </w:pPr>
      <w:r w:rsidRPr="00001B6D">
        <w:rPr>
          <w:rFonts w:asciiTheme="majorHAnsi" w:hAnsiTheme="majorHAnsi" w:cstheme="majorHAnsi"/>
          <w:sz w:val="24"/>
          <w:szCs w:val="24"/>
        </w:rPr>
        <w:t xml:space="preserve">Jefe Oficina Asesora Jurídica </w:t>
      </w:r>
    </w:p>
    <w:p w:rsidR="006D4B3D" w:rsidRPr="00001B6D" w:rsidRDefault="006D4B3D" w:rsidP="006D4B3D">
      <w:pPr>
        <w:ind w:left="-851"/>
        <w:jc w:val="both"/>
        <w:rPr>
          <w:rFonts w:asciiTheme="majorHAnsi" w:hAnsiTheme="majorHAnsi" w:cstheme="majorHAnsi"/>
          <w:sz w:val="24"/>
          <w:szCs w:val="24"/>
        </w:rPr>
      </w:pPr>
    </w:p>
    <w:p w:rsidR="006D4B3D" w:rsidRPr="00001B6D" w:rsidRDefault="006D4B3D" w:rsidP="006D4B3D">
      <w:pPr>
        <w:ind w:left="-851"/>
        <w:jc w:val="both"/>
        <w:rPr>
          <w:rFonts w:asciiTheme="majorHAnsi" w:hAnsiTheme="majorHAnsi" w:cstheme="majorHAnsi"/>
          <w:sz w:val="24"/>
          <w:szCs w:val="24"/>
        </w:rPr>
      </w:pPr>
    </w:p>
    <w:p w:rsidR="006D4B3D" w:rsidRPr="00001B6D" w:rsidRDefault="00001B6D" w:rsidP="006D4B3D">
      <w:pPr>
        <w:ind w:left="708" w:hanging="1559"/>
        <w:jc w:val="both"/>
        <w:rPr>
          <w:rFonts w:asciiTheme="majorHAnsi" w:hAnsiTheme="majorHAnsi" w:cstheme="majorHAnsi"/>
          <w:sz w:val="18"/>
          <w:szCs w:val="18"/>
        </w:rPr>
      </w:pPr>
      <w:r w:rsidRPr="00001B6D">
        <w:rPr>
          <w:rFonts w:asciiTheme="majorHAnsi" w:hAnsiTheme="majorHAnsi" w:cstheme="majorHAnsi"/>
          <w:sz w:val="18"/>
          <w:szCs w:val="18"/>
        </w:rPr>
        <w:t>Revisó</w:t>
      </w:r>
      <w:r w:rsidR="006D4B3D" w:rsidRPr="00001B6D">
        <w:rPr>
          <w:rFonts w:asciiTheme="majorHAnsi" w:hAnsiTheme="majorHAnsi" w:cstheme="majorHAnsi"/>
          <w:sz w:val="18"/>
          <w:szCs w:val="18"/>
        </w:rPr>
        <w:t xml:space="preserve">: </w:t>
      </w:r>
      <w:r w:rsidR="006D4B3D" w:rsidRPr="00001B6D">
        <w:rPr>
          <w:rFonts w:asciiTheme="majorHAnsi" w:hAnsiTheme="majorHAnsi" w:cstheme="majorHAnsi"/>
          <w:sz w:val="18"/>
          <w:szCs w:val="18"/>
        </w:rPr>
        <w:tab/>
        <w:t xml:space="preserve">Mauricio Herrera </w:t>
      </w:r>
      <w:r w:rsidRPr="00001B6D">
        <w:rPr>
          <w:rFonts w:asciiTheme="majorHAnsi" w:hAnsiTheme="majorHAnsi" w:cstheme="majorHAnsi"/>
          <w:sz w:val="18"/>
          <w:szCs w:val="18"/>
        </w:rPr>
        <w:t>B</w:t>
      </w:r>
      <w:r w:rsidR="006D4B3D" w:rsidRPr="00001B6D">
        <w:rPr>
          <w:rFonts w:asciiTheme="majorHAnsi" w:hAnsiTheme="majorHAnsi" w:cstheme="majorHAnsi"/>
          <w:sz w:val="18"/>
          <w:szCs w:val="18"/>
        </w:rPr>
        <w:t xml:space="preserve">, Coordinador Grupo de Conceptos, Asesoría Legal y Derechos de Petición. </w:t>
      </w:r>
    </w:p>
    <w:p w:rsidR="006D4B3D" w:rsidRPr="00001B6D" w:rsidRDefault="006D4B3D" w:rsidP="006D4B3D">
      <w:pPr>
        <w:ind w:left="-851"/>
        <w:jc w:val="both"/>
        <w:rPr>
          <w:rFonts w:asciiTheme="majorHAnsi" w:hAnsiTheme="majorHAnsi" w:cstheme="majorHAnsi"/>
          <w:b/>
          <w:color w:val="FF0000"/>
          <w:sz w:val="24"/>
          <w:szCs w:val="24"/>
        </w:rPr>
      </w:pPr>
    </w:p>
    <w:p w:rsidR="00A57566" w:rsidRPr="00001B6D" w:rsidRDefault="00A57566">
      <w:pPr>
        <w:rPr>
          <w:rFonts w:asciiTheme="majorHAnsi" w:hAnsiTheme="majorHAnsi" w:cstheme="majorHAnsi"/>
          <w:sz w:val="24"/>
          <w:szCs w:val="24"/>
        </w:rPr>
      </w:pPr>
    </w:p>
    <w:sectPr w:rsidR="00A57566" w:rsidRPr="00001B6D" w:rsidSect="006D4B3D">
      <w:headerReference w:type="default" r:id="rId8"/>
      <w:footerReference w:type="default" r:id="rId9"/>
      <w:headerReference w:type="first" r:id="rId10"/>
      <w:pgSz w:w="12240" w:h="15840" w:code="1"/>
      <w:pgMar w:top="1616" w:right="1701" w:bottom="1115"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E6A" w:rsidRDefault="00336E6A" w:rsidP="006D4B3D">
      <w:r>
        <w:separator/>
      </w:r>
    </w:p>
  </w:endnote>
  <w:endnote w:type="continuationSeparator" w:id="0">
    <w:p w:rsidR="00336E6A" w:rsidRDefault="00336E6A" w:rsidP="006D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A7" w:rsidRDefault="00517BA1">
    <w:pPr>
      <w:pStyle w:val="Piedepgina"/>
      <w:jc w:val="right"/>
    </w:pPr>
    <w:r>
      <w:fldChar w:fldCharType="begin"/>
    </w:r>
    <w:r>
      <w:instrText>PAGE   \* MERGEFORMAT</w:instrText>
    </w:r>
    <w:r>
      <w:fldChar w:fldCharType="separate"/>
    </w:r>
    <w:r w:rsidR="007945A7">
      <w:rPr>
        <w:noProof/>
      </w:rPr>
      <w:t>6</w:t>
    </w:r>
    <w:r>
      <w:fldChar w:fldCharType="end"/>
    </w:r>
  </w:p>
  <w:p w:rsidR="00713AA7" w:rsidRPr="0084294E" w:rsidRDefault="00336E6A" w:rsidP="00FA4A9E">
    <w:pPr>
      <w:pStyle w:val="Piedepgina"/>
      <w:jc w:val="center"/>
      <w:rPr>
        <w:sz w:val="18"/>
        <w:szCs w:val="18"/>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E6A" w:rsidRDefault="00336E6A" w:rsidP="006D4B3D">
      <w:r>
        <w:separator/>
      </w:r>
    </w:p>
  </w:footnote>
  <w:footnote w:type="continuationSeparator" w:id="0">
    <w:p w:rsidR="00336E6A" w:rsidRDefault="00336E6A" w:rsidP="006D4B3D">
      <w:r>
        <w:continuationSeparator/>
      </w:r>
    </w:p>
  </w:footnote>
  <w:footnote w:id="1">
    <w:p w:rsidR="006D4B3D" w:rsidRPr="00EF76D8" w:rsidRDefault="006D4B3D" w:rsidP="006D4B3D">
      <w:pPr>
        <w:pStyle w:val="Textonotapie"/>
        <w:ind w:right="-943" w:hanging="993"/>
        <w:jc w:val="both"/>
        <w:rPr>
          <w:rFonts w:asciiTheme="majorHAnsi" w:hAnsiTheme="majorHAnsi" w:cstheme="majorHAnsi"/>
          <w:lang w:val="es-CO"/>
        </w:rPr>
      </w:pPr>
      <w:r w:rsidRPr="00EF76D8">
        <w:rPr>
          <w:rStyle w:val="Refdenotaalpie"/>
          <w:rFonts w:asciiTheme="majorHAnsi" w:hAnsiTheme="majorHAnsi" w:cstheme="majorHAnsi"/>
        </w:rPr>
        <w:footnoteRef/>
      </w:r>
      <w:r w:rsidRPr="00EF76D8">
        <w:rPr>
          <w:rFonts w:asciiTheme="majorHAnsi" w:hAnsiTheme="majorHAnsi" w:cstheme="majorHAnsi"/>
        </w:rPr>
        <w:t xml:space="preserve"> </w:t>
      </w:r>
      <w:r w:rsidRPr="00EF76D8">
        <w:rPr>
          <w:rFonts w:asciiTheme="majorHAnsi" w:hAnsiTheme="majorHAnsi" w:cstheme="majorHAnsi"/>
          <w:lang w:val="es-CO"/>
        </w:rPr>
        <w:t>CORTE CONSTITUCIONAL. Sentencia C- 713 del 15 de julio de 2008. MP: Dra. CLARA INÉS VARGAS HERNÁNDEZ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A7" w:rsidRDefault="00336E6A">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6532"/>
    </w:tblGrid>
    <w:tr w:rsidR="00713AA7" w:rsidTr="001447C1">
      <w:tc>
        <w:tcPr>
          <w:tcW w:w="4253" w:type="dxa"/>
          <w:shd w:val="clear" w:color="auto" w:fill="auto"/>
        </w:tcPr>
        <w:p w:rsidR="00713AA7" w:rsidRDefault="006D4B3D" w:rsidP="001447C1">
          <w:pPr>
            <w:pStyle w:val="Encabezado"/>
          </w:pPr>
          <w:r w:rsidRPr="00D965B1">
            <w:rPr>
              <w:noProof/>
              <w:lang w:val="es-CO" w:eastAsia="es-CO"/>
            </w:rPr>
            <w:drawing>
              <wp:inline distT="0" distB="0" distL="0" distR="0">
                <wp:extent cx="2566035" cy="539115"/>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035" cy="539115"/>
                        </a:xfrm>
                        <a:prstGeom prst="rect">
                          <a:avLst/>
                        </a:prstGeom>
                        <a:noFill/>
                        <a:ln>
                          <a:noFill/>
                        </a:ln>
                      </pic:spPr>
                    </pic:pic>
                  </a:graphicData>
                </a:graphic>
              </wp:inline>
            </w:drawing>
          </w:r>
        </w:p>
      </w:tc>
      <w:tc>
        <w:tcPr>
          <w:tcW w:w="6545" w:type="dxa"/>
          <w:shd w:val="clear" w:color="auto" w:fill="auto"/>
          <w:vAlign w:val="center"/>
        </w:tcPr>
        <w:p w:rsidR="00713AA7" w:rsidRDefault="00517BA1" w:rsidP="001447C1">
          <w:pPr>
            <w:pStyle w:val="Ttulo2"/>
            <w:ind w:left="72" w:right="72"/>
          </w:pPr>
          <w:r w:rsidRPr="00FD3D04">
            <w:rPr>
              <w:rFonts w:cs="Arial"/>
              <w:bCs/>
              <w:color w:val="000000"/>
              <w:sz w:val="24"/>
              <w:szCs w:val="24"/>
            </w:rPr>
            <w:t>FORMATO MEMORIA JUSTIFICATIVA</w:t>
          </w:r>
        </w:p>
      </w:tc>
    </w:tr>
  </w:tbl>
  <w:p w:rsidR="00713AA7" w:rsidRDefault="00336E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6532"/>
    </w:tblGrid>
    <w:tr w:rsidR="00713AA7" w:rsidTr="00FD3D04">
      <w:tc>
        <w:tcPr>
          <w:tcW w:w="4253" w:type="dxa"/>
          <w:shd w:val="clear" w:color="auto" w:fill="auto"/>
        </w:tcPr>
        <w:p w:rsidR="00713AA7" w:rsidRDefault="006D4B3D">
          <w:pPr>
            <w:pStyle w:val="Encabezado"/>
          </w:pPr>
          <w:r w:rsidRPr="00D965B1">
            <w:rPr>
              <w:noProof/>
              <w:lang w:val="es-CO" w:eastAsia="es-CO"/>
            </w:rPr>
            <w:drawing>
              <wp:inline distT="0" distB="0" distL="0" distR="0">
                <wp:extent cx="2566035" cy="53911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035" cy="539115"/>
                        </a:xfrm>
                        <a:prstGeom prst="rect">
                          <a:avLst/>
                        </a:prstGeom>
                        <a:noFill/>
                        <a:ln>
                          <a:noFill/>
                        </a:ln>
                      </pic:spPr>
                    </pic:pic>
                  </a:graphicData>
                </a:graphic>
              </wp:inline>
            </w:drawing>
          </w:r>
        </w:p>
      </w:tc>
      <w:tc>
        <w:tcPr>
          <w:tcW w:w="6545" w:type="dxa"/>
          <w:shd w:val="clear" w:color="auto" w:fill="auto"/>
          <w:vAlign w:val="center"/>
        </w:tcPr>
        <w:p w:rsidR="00713AA7" w:rsidRDefault="00517BA1" w:rsidP="00FD3D04">
          <w:pPr>
            <w:pStyle w:val="Ttulo2"/>
            <w:ind w:left="72" w:right="72"/>
          </w:pPr>
          <w:r w:rsidRPr="00FD3D04">
            <w:rPr>
              <w:rFonts w:cs="Arial"/>
              <w:bCs/>
              <w:color w:val="000000"/>
              <w:sz w:val="24"/>
              <w:szCs w:val="24"/>
            </w:rPr>
            <w:t>FORMATO MEMORIA JUSTIFICATIVA</w:t>
          </w:r>
        </w:p>
      </w:tc>
    </w:tr>
  </w:tbl>
  <w:p w:rsidR="00713AA7" w:rsidRDefault="00336E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D38AD"/>
    <w:multiLevelType w:val="hybridMultilevel"/>
    <w:tmpl w:val="EBA60462"/>
    <w:lvl w:ilvl="0" w:tplc="D4707DD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3D"/>
    <w:rsid w:val="00001B6D"/>
    <w:rsid w:val="0014379E"/>
    <w:rsid w:val="002176CC"/>
    <w:rsid w:val="002E7AE9"/>
    <w:rsid w:val="00303B04"/>
    <w:rsid w:val="00315875"/>
    <w:rsid w:val="00321CAB"/>
    <w:rsid w:val="00336E6A"/>
    <w:rsid w:val="00517BA1"/>
    <w:rsid w:val="00540684"/>
    <w:rsid w:val="005A7D19"/>
    <w:rsid w:val="005D49BF"/>
    <w:rsid w:val="006D4B3D"/>
    <w:rsid w:val="006F4A83"/>
    <w:rsid w:val="007945A7"/>
    <w:rsid w:val="00837453"/>
    <w:rsid w:val="00A21A86"/>
    <w:rsid w:val="00A57566"/>
    <w:rsid w:val="00BF7D45"/>
    <w:rsid w:val="00C54C63"/>
    <w:rsid w:val="00E937CA"/>
    <w:rsid w:val="00EF76D8"/>
    <w:rsid w:val="00F3295E"/>
    <w:rsid w:val="00FF6A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192B7-AD0B-4D56-A3B7-06F7EC68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3D"/>
    <w:pPr>
      <w:spacing w:after="0" w:line="240" w:lineRule="auto"/>
    </w:pPr>
    <w:rPr>
      <w:rFonts w:ascii="Arial" w:eastAsia="Times New Roman" w:hAnsi="Arial" w:cs="Times New Roman"/>
      <w:sz w:val="20"/>
      <w:szCs w:val="20"/>
      <w:lang w:val="es-ES" w:eastAsia="es-ES"/>
    </w:rPr>
  </w:style>
  <w:style w:type="paragraph" w:styleId="Ttulo2">
    <w:name w:val="heading 2"/>
    <w:basedOn w:val="Normal"/>
    <w:next w:val="Normal"/>
    <w:link w:val="Ttulo2Car"/>
    <w:qFormat/>
    <w:rsid w:val="006D4B3D"/>
    <w:pPr>
      <w:keepNext/>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D4B3D"/>
    <w:rPr>
      <w:rFonts w:ascii="Arial" w:eastAsia="Times New Roman" w:hAnsi="Arial" w:cs="Times New Roman"/>
      <w:b/>
      <w:sz w:val="20"/>
      <w:szCs w:val="20"/>
      <w:lang w:val="es-ES" w:eastAsia="es-ES"/>
    </w:rPr>
  </w:style>
  <w:style w:type="paragraph" w:styleId="Encabezado">
    <w:name w:val="header"/>
    <w:basedOn w:val="Normal"/>
    <w:link w:val="EncabezadoCar"/>
    <w:rsid w:val="006D4B3D"/>
    <w:pPr>
      <w:tabs>
        <w:tab w:val="center" w:pos="4252"/>
        <w:tab w:val="right" w:pos="8504"/>
      </w:tabs>
    </w:pPr>
  </w:style>
  <w:style w:type="character" w:customStyle="1" w:styleId="EncabezadoCar">
    <w:name w:val="Encabezado Car"/>
    <w:basedOn w:val="Fuentedeprrafopredeter"/>
    <w:link w:val="Encabezado"/>
    <w:rsid w:val="006D4B3D"/>
    <w:rPr>
      <w:rFonts w:ascii="Arial" w:eastAsia="Times New Roman" w:hAnsi="Arial" w:cs="Times New Roman"/>
      <w:sz w:val="20"/>
      <w:szCs w:val="20"/>
      <w:lang w:val="es-ES" w:eastAsia="es-ES"/>
    </w:rPr>
  </w:style>
  <w:style w:type="paragraph" w:styleId="Piedepgina">
    <w:name w:val="footer"/>
    <w:basedOn w:val="Normal"/>
    <w:link w:val="PiedepginaCar"/>
    <w:uiPriority w:val="99"/>
    <w:rsid w:val="006D4B3D"/>
    <w:pPr>
      <w:tabs>
        <w:tab w:val="center" w:pos="4252"/>
        <w:tab w:val="right" w:pos="8504"/>
      </w:tabs>
    </w:pPr>
  </w:style>
  <w:style w:type="character" w:customStyle="1" w:styleId="PiedepginaCar">
    <w:name w:val="Pie de página Car"/>
    <w:basedOn w:val="Fuentedeprrafopredeter"/>
    <w:link w:val="Piedepgina"/>
    <w:uiPriority w:val="99"/>
    <w:rsid w:val="006D4B3D"/>
    <w:rPr>
      <w:rFonts w:ascii="Arial" w:eastAsia="Times New Roman" w:hAnsi="Arial" w:cs="Times New Roman"/>
      <w:sz w:val="20"/>
      <w:szCs w:val="20"/>
      <w:lang w:val="es-ES" w:eastAsia="es-ES"/>
    </w:rPr>
  </w:style>
  <w:style w:type="paragraph" w:styleId="Textonotapie">
    <w:name w:val="footnote text"/>
    <w:basedOn w:val="Normal"/>
    <w:link w:val="TextonotapieCar"/>
    <w:uiPriority w:val="99"/>
    <w:rsid w:val="006D4B3D"/>
    <w:rPr>
      <w:rFonts w:ascii="Times" w:eastAsia="Times" w:hAnsi="Times"/>
      <w:lang w:val="en-US"/>
    </w:rPr>
  </w:style>
  <w:style w:type="character" w:customStyle="1" w:styleId="TextonotapieCar">
    <w:name w:val="Texto nota pie Car"/>
    <w:basedOn w:val="Fuentedeprrafopredeter"/>
    <w:link w:val="Textonotapie"/>
    <w:uiPriority w:val="99"/>
    <w:rsid w:val="006D4B3D"/>
    <w:rPr>
      <w:rFonts w:ascii="Times" w:eastAsia="Times" w:hAnsi="Times" w:cs="Times New Roman"/>
      <w:sz w:val="20"/>
      <w:szCs w:val="20"/>
      <w:lang w:val="en-US" w:eastAsia="es-ES"/>
    </w:rPr>
  </w:style>
  <w:style w:type="character" w:styleId="Refdenotaalpie">
    <w:name w:val="footnote reference"/>
    <w:uiPriority w:val="99"/>
    <w:rsid w:val="006D4B3D"/>
    <w:rPr>
      <w:vertAlign w:val="superscript"/>
    </w:rPr>
  </w:style>
  <w:style w:type="character" w:customStyle="1" w:styleId="Listavistosa-nfasis1Car">
    <w:name w:val="Lista vistosa - Énfasis 1 Car"/>
    <w:aliases w:val="Normal. Viñetas Car"/>
    <w:link w:val="Listavistosa-nfasis1"/>
    <w:uiPriority w:val="34"/>
    <w:locked/>
    <w:rsid w:val="006D4B3D"/>
    <w:rPr>
      <w:rFonts w:ascii="Calibri" w:hAnsi="Calibri"/>
      <w:sz w:val="22"/>
      <w:szCs w:val="22"/>
    </w:rPr>
  </w:style>
  <w:style w:type="character" w:styleId="Hipervnculo">
    <w:name w:val="Hyperlink"/>
    <w:uiPriority w:val="99"/>
    <w:unhideWhenUsed/>
    <w:rsid w:val="006D4B3D"/>
    <w:rPr>
      <w:color w:val="0000FF"/>
      <w:u w:val="single"/>
    </w:rPr>
  </w:style>
  <w:style w:type="table" w:styleId="Listavistosa-nfasis1">
    <w:name w:val="Colorful List Accent 1"/>
    <w:basedOn w:val="Tablanormal"/>
    <w:link w:val="Listavistosa-nfasis1Car"/>
    <w:uiPriority w:val="34"/>
    <w:semiHidden/>
    <w:unhideWhenUsed/>
    <w:rsid w:val="006D4B3D"/>
    <w:pPr>
      <w:spacing w:after="0" w:line="240" w:lineRule="auto"/>
    </w:pPr>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6D4B3D"/>
    <w:pPr>
      <w:spacing w:before="100" w:beforeAutospacing="1" w:after="100" w:afterAutospacing="1"/>
    </w:pPr>
    <w:rPr>
      <w:rFonts w:ascii="Times New Roman" w:hAnsi="Times New Roman"/>
      <w:sz w:val="24"/>
      <w:szCs w:val="24"/>
      <w:lang w:val="es-CO" w:eastAsia="es-CO"/>
    </w:rPr>
  </w:style>
  <w:style w:type="character" w:customStyle="1" w:styleId="toctoggle">
    <w:name w:val="toctoggle"/>
    <w:basedOn w:val="Fuentedeprrafopredeter"/>
    <w:rsid w:val="006D4B3D"/>
  </w:style>
  <w:style w:type="paragraph" w:styleId="Textodeglobo">
    <w:name w:val="Balloon Text"/>
    <w:basedOn w:val="Normal"/>
    <w:link w:val="TextodegloboCar"/>
    <w:uiPriority w:val="99"/>
    <w:semiHidden/>
    <w:unhideWhenUsed/>
    <w:rsid w:val="00321C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1CA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751058">
      <w:bodyDiv w:val="1"/>
      <w:marLeft w:val="0"/>
      <w:marRight w:val="0"/>
      <w:marTop w:val="0"/>
      <w:marBottom w:val="0"/>
      <w:divBdr>
        <w:top w:val="none" w:sz="0" w:space="0" w:color="auto"/>
        <w:left w:val="none" w:sz="0" w:space="0" w:color="auto"/>
        <w:bottom w:val="none" w:sz="0" w:space="0" w:color="auto"/>
        <w:right w:val="none" w:sz="0" w:space="0" w:color="auto"/>
      </w:divBdr>
      <w:divsChild>
        <w:div w:id="2137947755">
          <w:marLeft w:val="0"/>
          <w:marRight w:val="0"/>
          <w:marTop w:val="0"/>
          <w:marBottom w:val="150"/>
          <w:divBdr>
            <w:top w:val="none" w:sz="0" w:space="0" w:color="auto"/>
            <w:left w:val="none" w:sz="0" w:space="0" w:color="auto"/>
            <w:bottom w:val="none" w:sz="0" w:space="0" w:color="auto"/>
            <w:right w:val="none" w:sz="0" w:space="0" w:color="auto"/>
          </w:divBdr>
        </w:div>
      </w:divsChild>
    </w:div>
    <w:div w:id="181012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H7EN5MXTHQNV-662-3447</_dlc_DocId>
    <_dlc_DocIdUrl xmlns="ae9388c0-b1e2-40ea-b6a8-c51c7913cbd2">
      <Url>https://mng.mincultura.gov.co/prensa/noticias/_layouts/15/DocIdRedir.aspx?ID=H7EN5MXTHQNV-662-3447</Url>
      <Description>H7EN5MXTHQNV-662-3447</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10F09-51AD-4E89-9A90-27B83CC0F97B}"/>
</file>

<file path=customXml/itemProps2.xml><?xml version="1.0" encoding="utf-8"?>
<ds:datastoreItem xmlns:ds="http://schemas.openxmlformats.org/officeDocument/2006/customXml" ds:itemID="{E3F5169B-E56D-4344-BBE0-55E0BFDF16AC}"/>
</file>

<file path=customXml/itemProps3.xml><?xml version="1.0" encoding="utf-8"?>
<ds:datastoreItem xmlns:ds="http://schemas.openxmlformats.org/officeDocument/2006/customXml" ds:itemID="{9994CDBA-AB8E-4BC3-B6CA-CA09A7DC2CB7}"/>
</file>

<file path=customXml/itemProps4.xml><?xml version="1.0" encoding="utf-8"?>
<ds:datastoreItem xmlns:ds="http://schemas.openxmlformats.org/officeDocument/2006/customXml" ds:itemID="{6A9593DD-79F3-4E08-ACC7-96E963DD4B64}"/>
</file>

<file path=customXml/itemProps5.xml><?xml version="1.0" encoding="utf-8"?>
<ds:datastoreItem xmlns:ds="http://schemas.openxmlformats.org/officeDocument/2006/customXml" ds:itemID="{45227F2B-949B-4285-BC05-E51AD442B315}"/>
</file>

<file path=docProps/app.xml><?xml version="1.0" encoding="utf-8"?>
<Properties xmlns="http://schemas.openxmlformats.org/officeDocument/2006/extended-properties" xmlns:vt="http://schemas.openxmlformats.org/officeDocument/2006/docPropsVTypes">
  <Template>Normal</Template>
  <TotalTime>51</TotalTime>
  <Pages>6</Pages>
  <Words>2043</Words>
  <Characters>11239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Herrera Bermudez</dc:creator>
  <cp:keywords/>
  <dc:description/>
  <cp:lastModifiedBy>Mauricio Herrera Bermudez</cp:lastModifiedBy>
  <cp:revision>3</cp:revision>
  <cp:lastPrinted>2021-09-17T00:52:00Z</cp:lastPrinted>
  <dcterms:created xsi:type="dcterms:W3CDTF">2021-09-17T00:15:00Z</dcterms:created>
  <dcterms:modified xsi:type="dcterms:W3CDTF">2021-09-17T01:39:00Z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6e3a9fac-3939-47a9-bdb1-5fe9156116b4</vt:lpwstr>
  </property>
</Properties>
</file>