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8C3A50" w:rsidRPr="00220F0E" w:rsidTr="0001350A">
        <w:tblPrEx>
          <w:tblCellMar>
            <w:top w:w="0" w:type="dxa"/>
            <w:bottom w:w="0" w:type="dxa"/>
          </w:tblCellMar>
        </w:tblPrEx>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8C3A50" w:rsidRPr="00220F0E" w:rsidRDefault="008C3A50" w:rsidP="0001350A">
            <w:pPr>
              <w:pStyle w:val="Ttulo2"/>
              <w:ind w:right="72"/>
              <w:jc w:val="left"/>
              <w:rPr>
                <w:rFonts w:ascii="Work Sans" w:hAnsi="Work Sans" w:cs="Arial"/>
                <w:bCs/>
                <w:color w:val="FFFFFF"/>
                <w:sz w:val="22"/>
                <w:szCs w:val="22"/>
              </w:rPr>
            </w:pPr>
            <w:r w:rsidRPr="00220F0E">
              <w:rPr>
                <w:rFonts w:ascii="Work Sans" w:hAnsi="Work Sans" w:cs="Arial"/>
                <w:color w:val="FFFFFF"/>
                <w:sz w:val="22"/>
                <w:szCs w:val="22"/>
                <w:lang w:val="es-CO"/>
              </w:rPr>
              <w:t>Entidad originadora:</w:t>
            </w:r>
          </w:p>
        </w:tc>
        <w:tc>
          <w:tcPr>
            <w:tcW w:w="7340" w:type="dxa"/>
            <w:gridSpan w:val="2"/>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pStyle w:val="Sangra2detindependiente"/>
              <w:spacing w:line="240" w:lineRule="auto"/>
              <w:ind w:left="0"/>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Ministerio de Cultura</w:t>
            </w:r>
          </w:p>
        </w:tc>
      </w:tr>
      <w:tr w:rsidR="008C3A50" w:rsidRPr="00220F0E" w:rsidTr="0001350A">
        <w:tblPrEx>
          <w:tblCellMar>
            <w:top w:w="0" w:type="dxa"/>
            <w:bottom w:w="0" w:type="dxa"/>
          </w:tblCellMar>
        </w:tblPrEx>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8C3A50" w:rsidRPr="00220F0E" w:rsidRDefault="008C3A50" w:rsidP="0001350A">
            <w:pPr>
              <w:pStyle w:val="Ttulo2"/>
              <w:ind w:right="72"/>
              <w:jc w:val="left"/>
              <w:rPr>
                <w:rFonts w:ascii="Work Sans" w:hAnsi="Work Sans" w:cs="Arial"/>
                <w:bCs/>
                <w:color w:val="FFFFFF"/>
                <w:sz w:val="22"/>
                <w:szCs w:val="22"/>
              </w:rPr>
            </w:pPr>
            <w:r w:rsidRPr="00220F0E">
              <w:rPr>
                <w:rFonts w:ascii="Work Sans" w:hAnsi="Work Sans" w:cs="Arial"/>
                <w:bCs/>
                <w:color w:val="FFFFFF"/>
                <w:sz w:val="22"/>
                <w:szCs w:val="22"/>
              </w:rPr>
              <w:t>Fecha (</w:t>
            </w:r>
            <w:proofErr w:type="spellStart"/>
            <w:r w:rsidRPr="00220F0E">
              <w:rPr>
                <w:rFonts w:ascii="Work Sans" w:hAnsi="Work Sans" w:cs="Arial"/>
                <w:bCs/>
                <w:color w:val="FFFFFF"/>
                <w:sz w:val="22"/>
                <w:szCs w:val="22"/>
              </w:rPr>
              <w:t>dd</w:t>
            </w:r>
            <w:proofErr w:type="spellEnd"/>
            <w:r w:rsidRPr="00220F0E">
              <w:rPr>
                <w:rFonts w:ascii="Work Sans" w:hAnsi="Work Sans" w:cs="Arial"/>
                <w:bCs/>
                <w:color w:val="FFFFFF"/>
                <w:sz w:val="22"/>
                <w:szCs w:val="22"/>
              </w:rPr>
              <w:t>/mm/</w:t>
            </w:r>
            <w:proofErr w:type="spellStart"/>
            <w:r w:rsidRPr="00220F0E">
              <w:rPr>
                <w:rFonts w:ascii="Work Sans" w:hAnsi="Work Sans" w:cs="Arial"/>
                <w:bCs/>
                <w:color w:val="FFFFFF"/>
                <w:sz w:val="22"/>
                <w:szCs w:val="22"/>
              </w:rPr>
              <w:t>aa</w:t>
            </w:r>
            <w:proofErr w:type="spellEnd"/>
            <w:r w:rsidRPr="00220F0E">
              <w:rPr>
                <w:rFonts w:ascii="Work Sans" w:hAnsi="Work San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pStyle w:val="Sangra2detindependiente"/>
              <w:spacing w:line="240" w:lineRule="auto"/>
              <w:ind w:left="0"/>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22/12/2021</w:t>
            </w:r>
          </w:p>
        </w:tc>
      </w:tr>
      <w:tr w:rsidR="008C3A50" w:rsidRPr="00220F0E" w:rsidTr="0001350A">
        <w:tblPrEx>
          <w:tblCellMar>
            <w:top w:w="0" w:type="dxa"/>
            <w:bottom w:w="0" w:type="dxa"/>
          </w:tblCellMar>
        </w:tblPrEx>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8C3A50" w:rsidRPr="00220F0E" w:rsidRDefault="008C3A50" w:rsidP="0001350A">
            <w:pPr>
              <w:pStyle w:val="Ttulo2"/>
              <w:ind w:right="72"/>
              <w:jc w:val="left"/>
              <w:rPr>
                <w:rFonts w:ascii="Work Sans" w:hAnsi="Work Sans" w:cs="Arial"/>
                <w:bCs/>
                <w:color w:val="FFFFFF"/>
                <w:sz w:val="22"/>
                <w:szCs w:val="22"/>
              </w:rPr>
            </w:pPr>
            <w:r w:rsidRPr="00220F0E">
              <w:rPr>
                <w:rFonts w:ascii="Work Sans" w:hAnsi="Work Sans" w:cs="Arial"/>
                <w:bCs/>
                <w:color w:val="FFFFFF"/>
                <w:sz w:val="22"/>
                <w:szCs w:val="22"/>
              </w:rPr>
              <w:t>Proyecto de Decreto/Resolución:</w:t>
            </w:r>
          </w:p>
        </w:tc>
        <w:tc>
          <w:tcPr>
            <w:tcW w:w="7340" w:type="dxa"/>
            <w:gridSpan w:val="2"/>
            <w:tcBorders>
              <w:top w:val="single" w:sz="4" w:space="0" w:color="auto"/>
              <w:left w:val="single" w:sz="4" w:space="0" w:color="auto"/>
              <w:bottom w:val="single" w:sz="4" w:space="0" w:color="auto"/>
            </w:tcBorders>
            <w:shd w:val="clear" w:color="auto" w:fill="FFFFFF"/>
            <w:vAlign w:val="center"/>
          </w:tcPr>
          <w:p w:rsidR="008C3A50" w:rsidRPr="00220F0E" w:rsidRDefault="00220F0E" w:rsidP="00220F0E">
            <w:pPr>
              <w:pStyle w:val="Textoindependiente2"/>
              <w:spacing w:after="0" w:line="240" w:lineRule="auto"/>
              <w:jc w:val="both"/>
              <w:rPr>
                <w:rFonts w:ascii="Work Sans" w:hAnsi="Work Sans"/>
                <w:iCs/>
                <w:sz w:val="22"/>
                <w:szCs w:val="22"/>
              </w:rPr>
            </w:pPr>
            <w:r w:rsidRPr="00220F0E">
              <w:rPr>
                <w:rFonts w:ascii="Work Sans" w:hAnsi="Work Sans"/>
                <w:iCs/>
                <w:sz w:val="22"/>
                <w:szCs w:val="22"/>
              </w:rPr>
              <w:t xml:space="preserve">Por la cual se modifica la Resolución 1560 del 22 de mayo de 2018 mediante la cual se aprueba el plan especial de manejo y protección, PEMP, del Cordón Amurallado y el castillo de San Felipe de Barajas, ubicados en Cartagena de Indias, declarados monumento nacional, hoy bienes de interés cultural del ámbito Nacional   </w:t>
            </w:r>
          </w:p>
        </w:tc>
      </w:tr>
      <w:tr w:rsidR="008C3A50" w:rsidRPr="00220F0E" w:rsidTr="0001350A">
        <w:tblPrEx>
          <w:tblCellMar>
            <w:top w:w="0" w:type="dxa"/>
            <w:bottom w:w="0" w:type="dxa"/>
          </w:tblCellMar>
        </w:tblPrEx>
        <w:trPr>
          <w:trHeight w:val="674"/>
        </w:trPr>
        <w:tc>
          <w:tcPr>
            <w:tcW w:w="10774" w:type="dxa"/>
            <w:gridSpan w:val="3"/>
            <w:tcBorders>
              <w:top w:val="single" w:sz="4" w:space="0" w:color="auto"/>
            </w:tcBorders>
            <w:shd w:val="clear" w:color="auto" w:fill="FFFFFF"/>
            <w:vAlign w:val="center"/>
          </w:tcPr>
          <w:p w:rsidR="008C3A50" w:rsidRPr="00220F0E" w:rsidRDefault="008C3A50" w:rsidP="0001350A">
            <w:pPr>
              <w:ind w:right="140"/>
              <w:contextualSpacing/>
              <w:jc w:val="both"/>
              <w:rPr>
                <w:rFonts w:ascii="Work Sans" w:hAnsi="Work Sans" w:cs="Arial"/>
                <w:bCs/>
                <w:color w:val="333333"/>
                <w:sz w:val="22"/>
                <w:szCs w:val="22"/>
                <w:shd w:val="clear" w:color="auto" w:fill="FFFFFF"/>
              </w:rPr>
            </w:pPr>
          </w:p>
          <w:p w:rsidR="008C3A50" w:rsidRPr="00220F0E" w:rsidRDefault="008C3A50" w:rsidP="0001350A">
            <w:pPr>
              <w:numPr>
                <w:ilvl w:val="0"/>
                <w:numId w:val="1"/>
              </w:numPr>
              <w:ind w:left="494"/>
              <w:jc w:val="both"/>
              <w:rPr>
                <w:rFonts w:ascii="Work Sans" w:hAnsi="Work Sans" w:cs="Calibri Light"/>
                <w:b/>
                <w:color w:val="000000"/>
                <w:sz w:val="22"/>
                <w:szCs w:val="22"/>
                <w:lang w:val="es-CO"/>
              </w:rPr>
            </w:pPr>
            <w:r w:rsidRPr="00220F0E">
              <w:rPr>
                <w:rFonts w:ascii="Work Sans" w:hAnsi="Work Sans" w:cs="Calibri Light"/>
                <w:b/>
                <w:color w:val="000000"/>
                <w:sz w:val="22"/>
                <w:szCs w:val="22"/>
                <w:lang w:val="es-CO"/>
              </w:rPr>
              <w:t>ANTECEDENTES Y RAZONES DE OPORTUNIDAD Y CONVENIENCIA QUE JUSTIFICAN SU EXPEDICIÓN.</w:t>
            </w:r>
          </w:p>
          <w:p w:rsidR="008C3A50" w:rsidRPr="00220F0E" w:rsidRDefault="008C3A50" w:rsidP="0001350A">
            <w:pPr>
              <w:pStyle w:val="Sinespaciado"/>
              <w:jc w:val="both"/>
              <w:rPr>
                <w:rFonts w:ascii="Work Sans" w:hAnsi="Work Sans" w:cs="Arial"/>
                <w:bCs/>
                <w:color w:val="333333"/>
                <w:sz w:val="22"/>
                <w:szCs w:val="22"/>
                <w:shd w:val="clear" w:color="auto" w:fill="FFFFFF"/>
                <w:lang w:val="es-ES"/>
              </w:rPr>
            </w:pPr>
          </w:p>
          <w:p w:rsidR="008C3A50" w:rsidRPr="00220F0E" w:rsidRDefault="008C3A50" w:rsidP="0001350A">
            <w:pPr>
              <w:pStyle w:val="Sinespaciado"/>
              <w:jc w:val="both"/>
              <w:rPr>
                <w:rFonts w:ascii="Work Sans" w:hAnsi="Work Sans"/>
                <w:sz w:val="22"/>
                <w:szCs w:val="22"/>
              </w:rPr>
            </w:pPr>
            <w:r w:rsidRPr="00220F0E">
              <w:rPr>
                <w:rFonts w:ascii="Work Sans" w:hAnsi="Work Sans" w:cs="Arial"/>
                <w:bCs/>
                <w:color w:val="333333"/>
                <w:sz w:val="22"/>
                <w:szCs w:val="22"/>
                <w:shd w:val="clear" w:color="auto" w:fill="FFFFFF"/>
                <w:lang w:val="es-ES"/>
              </w:rPr>
              <w:t>De acuerdo con el documento del Acta No. 2 del 18 de marzo de 2021 en la que constan los temas tratados en el Consejo Nacional de Patrimonio Cultura – CNPC, en el punto No. 5 “</w:t>
            </w:r>
            <w:r w:rsidRPr="00220F0E">
              <w:rPr>
                <w:rFonts w:ascii="Work Sans" w:hAnsi="Work Sans"/>
                <w:sz w:val="22"/>
                <w:szCs w:val="22"/>
              </w:rPr>
              <w:t>Aclaración norma de edificabilidad del PEMP cordón amurallado y castillo de san Felipe de barajas, subsector Matuna, en Cartagena”, se tocó una problemática relacionada con una normatividad que se encuentra en el PEMP, respecto de la cual existe un</w:t>
            </w:r>
            <w:bookmarkStart w:id="0" w:name="_GoBack"/>
            <w:bookmarkEnd w:id="0"/>
            <w:r w:rsidRPr="00220F0E">
              <w:rPr>
                <w:rFonts w:ascii="Work Sans" w:hAnsi="Work Sans"/>
                <w:sz w:val="22"/>
                <w:szCs w:val="22"/>
              </w:rPr>
              <w:t xml:space="preserve"> vacío normativo desde el enunciado normativo previsto en este ordenamiento. </w:t>
            </w:r>
          </w:p>
          <w:p w:rsidR="008C3A50" w:rsidRPr="00220F0E" w:rsidRDefault="008C3A50" w:rsidP="0001350A">
            <w:pPr>
              <w:pStyle w:val="Sinespaciado"/>
              <w:jc w:val="both"/>
              <w:rPr>
                <w:rFonts w:ascii="Work Sans" w:hAnsi="Work Sans"/>
                <w:sz w:val="22"/>
                <w:szCs w:val="22"/>
              </w:rPr>
            </w:pPr>
          </w:p>
          <w:p w:rsidR="008C3A50" w:rsidRPr="00220F0E" w:rsidRDefault="008C3A50" w:rsidP="0001350A">
            <w:pPr>
              <w:pStyle w:val="Sinespaciado"/>
              <w:jc w:val="both"/>
              <w:rPr>
                <w:rFonts w:ascii="Work Sans" w:hAnsi="Work Sans"/>
                <w:sz w:val="22"/>
                <w:szCs w:val="22"/>
              </w:rPr>
            </w:pPr>
            <w:r w:rsidRPr="00220F0E">
              <w:rPr>
                <w:rFonts w:ascii="Work Sans" w:hAnsi="Work Sans"/>
                <w:sz w:val="22"/>
                <w:szCs w:val="22"/>
              </w:rPr>
              <w:t xml:space="preserve">Sobre el particular en el seno del </w:t>
            </w:r>
            <w:r w:rsidR="000C6499" w:rsidRPr="00220F0E">
              <w:rPr>
                <w:rFonts w:ascii="Work Sans" w:hAnsi="Work Sans"/>
                <w:sz w:val="22"/>
                <w:szCs w:val="22"/>
              </w:rPr>
              <w:t xml:space="preserve">Consejo Nacional de Patrimonio Cultural - </w:t>
            </w:r>
            <w:r w:rsidRPr="00220F0E">
              <w:rPr>
                <w:rFonts w:ascii="Work Sans" w:hAnsi="Work Sans"/>
                <w:sz w:val="22"/>
                <w:szCs w:val="22"/>
              </w:rPr>
              <w:t>CNPC se informa:</w:t>
            </w:r>
          </w:p>
          <w:p w:rsidR="008C3A50" w:rsidRPr="00220F0E" w:rsidRDefault="008C3A50" w:rsidP="0001350A">
            <w:pPr>
              <w:pStyle w:val="Sinespaciado"/>
              <w:jc w:val="both"/>
              <w:rPr>
                <w:rFonts w:ascii="Work Sans" w:hAnsi="Work Sans" w:cs="Arial"/>
                <w:bCs/>
                <w:color w:val="333333"/>
                <w:sz w:val="22"/>
                <w:szCs w:val="22"/>
                <w:shd w:val="clear" w:color="auto" w:fill="FFFFFF"/>
                <w:lang w:val="es-ES"/>
              </w:rPr>
            </w:pPr>
          </w:p>
          <w:p w:rsidR="008C3A50" w:rsidRPr="00220F0E" w:rsidRDefault="000C6499" w:rsidP="0001350A">
            <w:pPr>
              <w:pStyle w:val="Sinespaciado"/>
              <w:jc w:val="both"/>
              <w:rPr>
                <w:rFonts w:ascii="Work Sans" w:hAnsi="Work Sans"/>
                <w:i/>
                <w:sz w:val="22"/>
                <w:szCs w:val="22"/>
              </w:rPr>
            </w:pPr>
            <w:r w:rsidRPr="00220F0E">
              <w:rPr>
                <w:rFonts w:ascii="Work Sans" w:hAnsi="Work Sans"/>
                <w:i/>
                <w:sz w:val="22"/>
                <w:szCs w:val="22"/>
              </w:rPr>
              <w:t>“</w:t>
            </w:r>
            <w:r w:rsidR="008C3A50" w:rsidRPr="00220F0E">
              <w:rPr>
                <w:rFonts w:ascii="Work Sans" w:hAnsi="Work Sans"/>
                <w:i/>
                <w:sz w:val="22"/>
                <w:szCs w:val="22"/>
              </w:rPr>
              <w:t xml:space="preserve">El director de Patrimonio y Memoria introduce el tema explicando que, si bien en el Plan de Ordenamiento territorial se especificaba que no se podían desarrollar edificaciones mayores a 4 pisos de altura.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Para toda la zona de influencia esto quedó especificado en metros y no en pisos, a excepción de La Matuna, donde sí quedó abierta la posibilidad de definirla en el PEMP del CH, el cual aún está en elaboración. Por consiguiente, la propuesta que se trae es poder definir en metros las alturas para el subsector de La Matuna.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Presentación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La arquitecta Mónica Orduña abre la presentación aclarando que el ejercicio desarrollado para este PEMP parte de lo arquitectónico, con el propósito de preservar los valores y dar condiciones de manejo suficientes para que estos valores puedan mantenerse.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De todas formas, en el subsector de La Matuna, que hace parte de la zona de influencia, se ha generado una dificultad al hablar de altura en metros ya que se encuentra estrictamente ligado al POT y está en espera de la formulación del PEMP. Sin embargo, se dejó la siguiente nota en el PEMP del Cordón Amurallado: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Artículo 15. Tratamientos urbanísticos y edificabilidad permitida en la zona de influencia - sub sector </w:t>
            </w:r>
            <w:proofErr w:type="spellStart"/>
            <w:r w:rsidRPr="00220F0E">
              <w:rPr>
                <w:rFonts w:ascii="Work Sans" w:hAnsi="Work Sans"/>
                <w:i/>
                <w:sz w:val="22"/>
                <w:szCs w:val="22"/>
              </w:rPr>
              <w:t>IIIi</w:t>
            </w:r>
            <w:proofErr w:type="spellEnd"/>
            <w:r w:rsidRPr="00220F0E">
              <w:rPr>
                <w:rFonts w:ascii="Work Sans" w:hAnsi="Work Sans"/>
                <w:i/>
                <w:sz w:val="22"/>
                <w:szCs w:val="22"/>
              </w:rPr>
              <w:t xml:space="preserve"> La Matuna Conservación arquitectónica y urbanística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Nota: En el marco del presente PEMP este aspecto puntual no es objeto de reglamentación. Corresponderá a la autoridad distrital de Cartagena de Indias, a través de la formulación del PEMP del Centro Histórico, hacer las definiciones</w:t>
            </w:r>
            <w:r w:rsidRPr="00220F0E">
              <w:rPr>
                <w:rFonts w:ascii="Work Sans" w:hAnsi="Work Sans"/>
                <w:i/>
                <w:sz w:val="22"/>
                <w:szCs w:val="22"/>
              </w:rPr>
              <w:t xml:space="preserve"> </w:t>
            </w:r>
            <w:r w:rsidRPr="00220F0E">
              <w:rPr>
                <w:rFonts w:ascii="Work Sans" w:hAnsi="Work Sans"/>
                <w:i/>
                <w:sz w:val="22"/>
                <w:szCs w:val="22"/>
              </w:rPr>
              <w:t xml:space="preserve">normativas que se consideren pertinentes en este sentido.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No obstante, considerando las competencias definidas en las leyes 397 de 1997 y 1185 de 2008 para la protección y manejo de los BIC y sus zonas de influencia; cualquier determinación relativa a la definición, modificación, adición o aclaración de las normas de uso y edificabilidad de estos predios, deberá contar con el concepto favorable del Consejo Nacional de Patrimonio Cultural y la aprobación del Ministerio de Cultura.</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 Adicionalmente, con el fin de mitigar posibles impactos negativos en los BIC, y mientras el ente territorial realiza estas definiciones en el PEMP del Centro Histórico, las intervenciones que se pretendan realizar deberán corresponder a las condiciones actuales de desarrollo en estas áreas. Es decir que, estas zonas mantendrán condiciones homólogas a las vigentes hasta que no se justifique técnicamente una nueva propuesta normativa.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Artículo 16. Condiciones normativas especiales y complementarias para la zona de influencia. Las siguientes son disposiciones de obligatorio cumplimiento adicionales para la zona de influencia del Cordón Amurallado y el castillo de San Felipe de Barajas, las cuales podrán ser modificadas a través de la formulación del PEMP del Centro Histórico de Cartagena de Indias, para lo cual deberá contar con el concepto favorable del Consejo Nacional de Patrimonio Cultural y la aprobación del Ministerio de Cultura: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 </w:t>
            </w:r>
          </w:p>
          <w:p w:rsidR="008C3A50" w:rsidRPr="00220F0E" w:rsidRDefault="008C3A50"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Subsector IIII La Matuna: Considerando los valores culturales identificados en el presente estudio para este sector, las intervenciones que se pretendan realizar están condicionadas a la elaboración de un inventario de los bienes muebles e inmuebles de interés cultural.</w:t>
            </w:r>
          </w:p>
          <w:p w:rsidR="008C3A50" w:rsidRPr="00220F0E" w:rsidRDefault="008C3A50" w:rsidP="0001350A">
            <w:pPr>
              <w:pStyle w:val="Sinespaciado"/>
              <w:jc w:val="both"/>
              <w:rPr>
                <w:rFonts w:ascii="Work Sans" w:hAnsi="Work Sans"/>
                <w:i/>
                <w:sz w:val="22"/>
                <w:szCs w:val="22"/>
              </w:rPr>
            </w:pPr>
          </w:p>
          <w:p w:rsidR="00D716AA" w:rsidRPr="00220F0E" w:rsidRDefault="008C3A50" w:rsidP="0001350A">
            <w:pPr>
              <w:pStyle w:val="Sinespaciado"/>
              <w:jc w:val="both"/>
              <w:rPr>
                <w:rFonts w:ascii="Work Sans" w:hAnsi="Work Sans"/>
                <w:i/>
                <w:sz w:val="22"/>
                <w:szCs w:val="22"/>
              </w:rPr>
            </w:pPr>
            <w:r w:rsidRPr="00220F0E">
              <w:rPr>
                <w:rFonts w:ascii="Work Sans" w:hAnsi="Work Sans"/>
                <w:i/>
                <w:sz w:val="22"/>
                <w:szCs w:val="22"/>
              </w:rPr>
              <w:t xml:space="preserve">Dicho proyecto será adelantado por parte del Distrito, de acuerdo a la metodología establecida por el Ministerio de Cultura y deberá contar con la conceptualización favorable de esta última dependencia. </w:t>
            </w:r>
          </w:p>
          <w:p w:rsidR="00D716AA" w:rsidRPr="00220F0E" w:rsidRDefault="00D716AA" w:rsidP="0001350A">
            <w:pPr>
              <w:pStyle w:val="Sinespaciado"/>
              <w:jc w:val="both"/>
              <w:rPr>
                <w:rFonts w:ascii="Work Sans" w:hAnsi="Work Sans"/>
                <w:i/>
                <w:sz w:val="22"/>
                <w:szCs w:val="22"/>
              </w:rPr>
            </w:pPr>
          </w:p>
          <w:p w:rsidR="008C3A50" w:rsidRPr="00220F0E" w:rsidRDefault="008C3A50" w:rsidP="0001350A">
            <w:pPr>
              <w:pStyle w:val="Sinespaciado"/>
              <w:jc w:val="both"/>
              <w:rPr>
                <w:rFonts w:ascii="Work Sans" w:hAnsi="Work Sans"/>
                <w:i/>
                <w:sz w:val="22"/>
                <w:szCs w:val="22"/>
              </w:rPr>
            </w:pPr>
            <w:r w:rsidRPr="00220F0E">
              <w:rPr>
                <w:rFonts w:ascii="Work Sans" w:hAnsi="Work Sans"/>
                <w:i/>
                <w:sz w:val="22"/>
                <w:szCs w:val="22"/>
              </w:rPr>
              <w:t>Como resultado de este proceso de inventario se podrá plantear la modificación de las condiciones normativas de uso y edificabilidad de estos predios; en dicho caso, deberán ser incorporadas en la propuesta del PEMP del Centro Histórico.</w:t>
            </w:r>
          </w:p>
          <w:p w:rsidR="00D716AA" w:rsidRPr="00220F0E" w:rsidRDefault="00D716AA" w:rsidP="0001350A">
            <w:pPr>
              <w:pStyle w:val="Sinespaciado"/>
              <w:jc w:val="both"/>
              <w:rPr>
                <w:rFonts w:ascii="Work Sans" w:hAnsi="Work Sans"/>
                <w:i/>
                <w:sz w:val="22"/>
                <w:szCs w:val="22"/>
              </w:rPr>
            </w:pPr>
          </w:p>
          <w:p w:rsidR="00D716AA" w:rsidRPr="00220F0E" w:rsidRDefault="00D716AA" w:rsidP="0001350A">
            <w:pPr>
              <w:pStyle w:val="Sinespaciado"/>
              <w:jc w:val="both"/>
              <w:rPr>
                <w:rFonts w:ascii="Work Sans" w:hAnsi="Work Sans"/>
                <w:i/>
                <w:sz w:val="22"/>
                <w:szCs w:val="22"/>
              </w:rPr>
            </w:pPr>
            <w:r w:rsidRPr="00220F0E">
              <w:rPr>
                <w:rFonts w:ascii="Work Sans" w:hAnsi="Work Sans"/>
                <w:i/>
                <w:sz w:val="22"/>
                <w:szCs w:val="22"/>
              </w:rPr>
              <w:t xml:space="preserve">La altura máxima permitida para desarrollos quedaría de la siguiente manera: 2 pisos en máximo 8 metros; 4 pisos en máximo 14 metros; 6 pisos en máximo 21 metros, cerrando así la posibilidad de desarrollos que no cumplan con lo esperado para la zona. Es válido aclarar que, este es un ejercicio que se trabajó con la Secretaría de Planeación de Cartagena, la Gerencia del Espacio Público y movilidad, la Secretaría de Planeación y el Instituto de Patrimonio de Cultura de Cartagena. </w:t>
            </w:r>
          </w:p>
          <w:p w:rsidR="00D716AA" w:rsidRPr="00220F0E" w:rsidRDefault="00D716AA" w:rsidP="0001350A">
            <w:pPr>
              <w:pStyle w:val="Sinespaciado"/>
              <w:jc w:val="both"/>
              <w:rPr>
                <w:rFonts w:ascii="Work Sans" w:hAnsi="Work Sans"/>
                <w:i/>
                <w:sz w:val="22"/>
                <w:szCs w:val="22"/>
              </w:rPr>
            </w:pPr>
          </w:p>
          <w:p w:rsidR="00D716AA" w:rsidRPr="00220F0E" w:rsidRDefault="00D716AA" w:rsidP="0001350A">
            <w:pPr>
              <w:pStyle w:val="Sinespaciado"/>
              <w:jc w:val="both"/>
              <w:rPr>
                <w:rFonts w:ascii="Work Sans" w:hAnsi="Work Sans"/>
                <w:i/>
                <w:sz w:val="22"/>
                <w:szCs w:val="22"/>
              </w:rPr>
            </w:pPr>
            <w:r w:rsidRPr="00220F0E">
              <w:rPr>
                <w:rFonts w:ascii="Work Sans" w:hAnsi="Work Sans"/>
                <w:i/>
                <w:sz w:val="22"/>
                <w:szCs w:val="22"/>
              </w:rPr>
              <w:t>Comentarios</w:t>
            </w:r>
            <w:r w:rsidRPr="00220F0E">
              <w:rPr>
                <w:rFonts w:ascii="Work Sans" w:hAnsi="Work Sans"/>
                <w:i/>
                <w:sz w:val="22"/>
                <w:szCs w:val="22"/>
              </w:rPr>
              <w:t>:</w:t>
            </w:r>
            <w:r w:rsidRPr="00220F0E">
              <w:rPr>
                <w:rFonts w:ascii="Work Sans" w:hAnsi="Work Sans"/>
                <w:i/>
                <w:sz w:val="22"/>
                <w:szCs w:val="22"/>
              </w:rPr>
              <w:t xml:space="preserve"> </w:t>
            </w:r>
          </w:p>
          <w:p w:rsidR="00D716AA" w:rsidRPr="00220F0E" w:rsidRDefault="00D716AA" w:rsidP="0001350A">
            <w:pPr>
              <w:pStyle w:val="Sinespaciado"/>
              <w:jc w:val="both"/>
              <w:rPr>
                <w:rFonts w:ascii="Work Sans" w:hAnsi="Work Sans"/>
                <w:i/>
                <w:sz w:val="22"/>
                <w:szCs w:val="22"/>
              </w:rPr>
            </w:pPr>
          </w:p>
          <w:p w:rsidR="00D716AA" w:rsidRPr="00220F0E" w:rsidRDefault="00D716AA" w:rsidP="0001350A">
            <w:pPr>
              <w:pStyle w:val="Sinespaciado"/>
              <w:jc w:val="both"/>
              <w:rPr>
                <w:rFonts w:ascii="Work Sans" w:hAnsi="Work Sans"/>
                <w:i/>
                <w:sz w:val="22"/>
                <w:szCs w:val="22"/>
              </w:rPr>
            </w:pPr>
            <w:r w:rsidRPr="00220F0E">
              <w:rPr>
                <w:rFonts w:ascii="Work Sans" w:hAnsi="Work Sans"/>
                <w:i/>
                <w:sz w:val="22"/>
                <w:szCs w:val="22"/>
              </w:rPr>
              <w:t>Los miembros del Consejo consideran que este ajuste al PEMP es necesario y pertinente. El arquitecto Walter Martínez agrega que vale la pena hacer una reflexión sobre las diferentes herramientas de gestión que están presentes en el territorio a fin de trabajar en su articulación y armonización para la protección del paisaje urbano e histórico de la ciudad. Ante lo cual, el Director</w:t>
            </w:r>
            <w:r w:rsidRPr="00220F0E">
              <w:rPr>
                <w:rFonts w:ascii="Work Sans" w:hAnsi="Work Sans"/>
                <w:i/>
                <w:sz w:val="22"/>
                <w:szCs w:val="22"/>
              </w:rPr>
              <w:t xml:space="preserve"> </w:t>
            </w:r>
            <w:r w:rsidRPr="00220F0E">
              <w:rPr>
                <w:rFonts w:ascii="Work Sans" w:hAnsi="Work Sans"/>
                <w:i/>
                <w:sz w:val="22"/>
                <w:szCs w:val="22"/>
              </w:rPr>
              <w:t xml:space="preserve">de Patrimonio y Memoria aclara que, en el momento en que se cuente con los PEMP del Centro </w:t>
            </w:r>
            <w:r w:rsidRPr="00220F0E">
              <w:rPr>
                <w:rFonts w:ascii="Work Sans" w:hAnsi="Work Sans"/>
                <w:i/>
                <w:sz w:val="22"/>
                <w:szCs w:val="22"/>
              </w:rPr>
              <w:lastRenderedPageBreak/>
              <w:t xml:space="preserve">Histórico, el del Castillo y las Fortificaciones y el de la Bahía, se recogerían todos en uno y la norma quedaría totalmente clara al momento de solicitar una licencia. </w:t>
            </w:r>
          </w:p>
          <w:p w:rsidR="00D716AA" w:rsidRPr="00220F0E" w:rsidRDefault="00D716AA" w:rsidP="0001350A">
            <w:pPr>
              <w:pStyle w:val="Sinespaciado"/>
              <w:jc w:val="both"/>
              <w:rPr>
                <w:rFonts w:ascii="Work Sans" w:hAnsi="Work Sans"/>
                <w:i/>
                <w:sz w:val="22"/>
                <w:szCs w:val="22"/>
              </w:rPr>
            </w:pPr>
          </w:p>
          <w:p w:rsidR="00D716AA" w:rsidRPr="00220F0E" w:rsidRDefault="00D716AA" w:rsidP="0001350A">
            <w:pPr>
              <w:pStyle w:val="Sinespaciado"/>
              <w:jc w:val="both"/>
              <w:rPr>
                <w:rFonts w:ascii="Work Sans" w:hAnsi="Work Sans"/>
                <w:i/>
                <w:sz w:val="22"/>
                <w:szCs w:val="22"/>
              </w:rPr>
            </w:pPr>
            <w:r w:rsidRPr="00220F0E">
              <w:rPr>
                <w:rFonts w:ascii="Work Sans" w:hAnsi="Work Sans"/>
                <w:i/>
                <w:sz w:val="22"/>
                <w:szCs w:val="22"/>
              </w:rPr>
              <w:t>Conclusiones</w:t>
            </w:r>
            <w:r w:rsidRPr="00220F0E">
              <w:rPr>
                <w:rFonts w:ascii="Work Sans" w:hAnsi="Work Sans"/>
                <w:i/>
                <w:sz w:val="22"/>
                <w:szCs w:val="22"/>
              </w:rPr>
              <w:t>:</w:t>
            </w:r>
            <w:r w:rsidRPr="00220F0E">
              <w:rPr>
                <w:rFonts w:ascii="Work Sans" w:hAnsi="Work Sans"/>
                <w:i/>
                <w:sz w:val="22"/>
                <w:szCs w:val="22"/>
              </w:rPr>
              <w:t xml:space="preserve"> </w:t>
            </w:r>
          </w:p>
          <w:p w:rsidR="00D716AA" w:rsidRPr="00220F0E" w:rsidRDefault="00D716AA" w:rsidP="0001350A">
            <w:pPr>
              <w:pStyle w:val="Sinespaciado"/>
              <w:jc w:val="both"/>
              <w:rPr>
                <w:rFonts w:ascii="Work Sans" w:hAnsi="Work Sans"/>
                <w:i/>
                <w:sz w:val="22"/>
                <w:szCs w:val="22"/>
              </w:rPr>
            </w:pPr>
          </w:p>
          <w:p w:rsidR="00D716AA" w:rsidRPr="00220F0E" w:rsidRDefault="00D716AA" w:rsidP="0001350A">
            <w:pPr>
              <w:pStyle w:val="Sinespaciado"/>
              <w:jc w:val="both"/>
              <w:rPr>
                <w:rFonts w:ascii="Work Sans" w:hAnsi="Work Sans"/>
                <w:i/>
                <w:sz w:val="22"/>
                <w:szCs w:val="22"/>
              </w:rPr>
            </w:pPr>
            <w:r w:rsidRPr="00220F0E">
              <w:rPr>
                <w:rFonts w:ascii="Work Sans" w:hAnsi="Work Sans"/>
                <w:i/>
                <w:sz w:val="22"/>
                <w:szCs w:val="22"/>
              </w:rPr>
              <w:t xml:space="preserve">El </w:t>
            </w:r>
            <w:r w:rsidRPr="00220F0E">
              <w:rPr>
                <w:rFonts w:ascii="Work Sans" w:hAnsi="Work Sans"/>
                <w:i/>
                <w:sz w:val="22"/>
                <w:szCs w:val="22"/>
              </w:rPr>
              <w:t xml:space="preserve">Director </w:t>
            </w:r>
            <w:r w:rsidRPr="00220F0E">
              <w:rPr>
                <w:rFonts w:ascii="Work Sans" w:hAnsi="Work Sans"/>
                <w:i/>
                <w:sz w:val="22"/>
                <w:szCs w:val="22"/>
              </w:rPr>
              <w:t>de Patrimonio y Memoria somete a votación de los miembros del Consejo presentes en esta sesión la solicitud de aclaración del Artículo 15. “Tratamientos urbanísticos y edificabilidad permitida en la zona de influencia - sub sector IIII La Matuna Conservación arquitectónica y urbanística” estableciendo una altura máxima permitida para desarrollos de la siguiente manera: 2 pisos en máximo 8 metros; 4 pisos en máximo 14 metros; 6 pisos en máximo 21 metros, la cual recibe concepto favorable por unanimidad</w:t>
            </w:r>
          </w:p>
          <w:p w:rsidR="008C3A50" w:rsidRPr="00220F0E" w:rsidRDefault="008C3A50" w:rsidP="0001350A">
            <w:pPr>
              <w:jc w:val="both"/>
              <w:rPr>
                <w:rFonts w:ascii="Work Sans" w:hAnsi="Work Sans" w:cs="Arial"/>
                <w:bCs/>
                <w:i/>
                <w:color w:val="333333"/>
                <w:sz w:val="22"/>
                <w:szCs w:val="22"/>
                <w:shd w:val="clear" w:color="auto" w:fill="FFFFFF"/>
              </w:rPr>
            </w:pPr>
          </w:p>
          <w:p w:rsidR="008C3A50" w:rsidRPr="00220F0E" w:rsidRDefault="008C3A50" w:rsidP="0001350A">
            <w:pPr>
              <w:tabs>
                <w:tab w:val="left" w:pos="10345"/>
              </w:tabs>
              <w:autoSpaceDE w:val="0"/>
              <w:autoSpaceDN w:val="0"/>
              <w:adjustRightInd w:val="0"/>
              <w:ind w:right="214"/>
              <w:jc w:val="both"/>
              <w:rPr>
                <w:rFonts w:ascii="Work Sans" w:hAnsi="Work Sans" w:cs="Arial"/>
                <w:bCs/>
                <w:i/>
                <w:color w:val="333333"/>
                <w:sz w:val="22"/>
                <w:szCs w:val="22"/>
                <w:shd w:val="clear" w:color="auto" w:fill="FFFFFF"/>
              </w:rPr>
            </w:pPr>
            <w:r w:rsidRPr="00220F0E">
              <w:rPr>
                <w:rFonts w:ascii="Work Sans" w:hAnsi="Work Sans" w:cs="Arial"/>
                <w:bCs/>
                <w:i/>
                <w:color w:val="333333"/>
                <w:sz w:val="22"/>
                <w:szCs w:val="22"/>
                <w:shd w:val="clear" w:color="auto" w:fill="FFFFFF"/>
              </w:rPr>
              <w:t xml:space="preserve">En lo que atañe a la publicación del proyecto de resolución,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rsidR="008C3A50" w:rsidRPr="00220F0E" w:rsidRDefault="008C3A50" w:rsidP="0001350A">
            <w:pPr>
              <w:tabs>
                <w:tab w:val="left" w:pos="10345"/>
              </w:tabs>
              <w:autoSpaceDE w:val="0"/>
              <w:autoSpaceDN w:val="0"/>
              <w:adjustRightInd w:val="0"/>
              <w:ind w:right="214"/>
              <w:jc w:val="both"/>
              <w:rPr>
                <w:rFonts w:ascii="Work Sans" w:hAnsi="Work Sans" w:cs="Arial"/>
                <w:bCs/>
                <w:color w:val="333333"/>
                <w:sz w:val="22"/>
                <w:szCs w:val="22"/>
                <w:shd w:val="clear" w:color="auto" w:fill="FFFFFF"/>
              </w:rPr>
            </w:pPr>
          </w:p>
          <w:p w:rsidR="008C3A50" w:rsidRPr="00220F0E" w:rsidRDefault="008C3A50" w:rsidP="0001350A">
            <w:pPr>
              <w:tabs>
                <w:tab w:val="left" w:pos="10345"/>
              </w:tabs>
              <w:autoSpaceDE w:val="0"/>
              <w:autoSpaceDN w:val="0"/>
              <w:adjustRightInd w:val="0"/>
              <w:ind w:right="214"/>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 xml:space="preserve">Ahora bien, en el artículo citado, se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rsidR="008C3A50" w:rsidRPr="00220F0E" w:rsidRDefault="008C3A50" w:rsidP="0001350A">
            <w:pPr>
              <w:tabs>
                <w:tab w:val="left" w:pos="10345"/>
              </w:tabs>
              <w:autoSpaceDE w:val="0"/>
              <w:autoSpaceDN w:val="0"/>
              <w:adjustRightInd w:val="0"/>
              <w:ind w:right="214"/>
              <w:jc w:val="both"/>
              <w:rPr>
                <w:rFonts w:ascii="Work Sans" w:hAnsi="Work Sans" w:cs="Arial"/>
                <w:bCs/>
                <w:color w:val="333333"/>
                <w:sz w:val="22"/>
                <w:szCs w:val="22"/>
                <w:shd w:val="clear" w:color="auto" w:fill="FFFFFF"/>
              </w:rPr>
            </w:pPr>
          </w:p>
          <w:p w:rsidR="008C3A50" w:rsidRPr="00220F0E" w:rsidRDefault="008C3A50" w:rsidP="0001350A">
            <w:pPr>
              <w:tabs>
                <w:tab w:val="left" w:pos="10345"/>
              </w:tabs>
              <w:autoSpaceDE w:val="0"/>
              <w:autoSpaceDN w:val="0"/>
              <w:adjustRightInd w:val="0"/>
              <w:ind w:right="214"/>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 xml:space="preserve">“Excepcionalmente, la publicación podrá hacerse por un plazo inferior, siempre que la entidad que lidera el proyecto de reglamentación lo justifique de manera adecuada. En cualquier caso, el plazo deberá ser razonable y ajustado a la necesidad de la regulación.”. </w:t>
            </w:r>
          </w:p>
          <w:p w:rsidR="008C3A50" w:rsidRPr="00220F0E" w:rsidRDefault="008C3A50" w:rsidP="0001350A">
            <w:pPr>
              <w:tabs>
                <w:tab w:val="left" w:pos="10345"/>
              </w:tabs>
              <w:autoSpaceDE w:val="0"/>
              <w:autoSpaceDN w:val="0"/>
              <w:adjustRightInd w:val="0"/>
              <w:ind w:right="214"/>
              <w:jc w:val="both"/>
              <w:rPr>
                <w:rFonts w:ascii="Work Sans" w:hAnsi="Work Sans" w:cs="Arial"/>
                <w:bCs/>
                <w:color w:val="333333"/>
                <w:sz w:val="22"/>
                <w:szCs w:val="22"/>
                <w:shd w:val="clear" w:color="auto" w:fill="FFFFFF"/>
              </w:rPr>
            </w:pPr>
          </w:p>
          <w:p w:rsidR="00681CE3" w:rsidRPr="00220F0E" w:rsidRDefault="008C3A50" w:rsidP="0001350A">
            <w:pPr>
              <w:ind w:right="140"/>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Que en ese sentido, y de conformidad con lo expresado por los profesionales técnicos</w:t>
            </w:r>
            <w:r w:rsidR="00D716AA" w:rsidRPr="00220F0E">
              <w:rPr>
                <w:rFonts w:ascii="Work Sans" w:hAnsi="Work Sans" w:cs="Arial"/>
                <w:bCs/>
                <w:color w:val="333333"/>
                <w:sz w:val="22"/>
                <w:szCs w:val="22"/>
                <w:shd w:val="clear" w:color="auto" w:fill="FFFFFF"/>
              </w:rPr>
              <w:t xml:space="preserve"> de conformidad con el acta del Consejo Nacional de Patrimonio Cultural, la inclusión normativa en materia de edificabilidad para el sector en cuestión (La Matuna) en el Distrito de Cartagena de Indias, cierra las eventuales discusiones técnicas que se pueden presentar a futuro, producto de interpretaciones normativas que se puedan dar. </w:t>
            </w:r>
          </w:p>
          <w:p w:rsidR="00681CE3" w:rsidRPr="00220F0E" w:rsidRDefault="00681CE3" w:rsidP="0001350A">
            <w:pPr>
              <w:ind w:right="140"/>
              <w:jc w:val="both"/>
              <w:rPr>
                <w:rFonts w:ascii="Work Sans" w:hAnsi="Work Sans" w:cs="Arial"/>
                <w:bCs/>
                <w:color w:val="333333"/>
                <w:sz w:val="22"/>
                <w:szCs w:val="22"/>
                <w:shd w:val="clear" w:color="auto" w:fill="FFFFFF"/>
              </w:rPr>
            </w:pPr>
          </w:p>
          <w:p w:rsidR="008C3A50" w:rsidRPr="00220F0E" w:rsidRDefault="00D716AA" w:rsidP="00681CE3">
            <w:pPr>
              <w:ind w:right="140"/>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 xml:space="preserve">En este sentido y dado que se trata de una inclusión normativa </w:t>
            </w:r>
            <w:r w:rsidR="00681CE3" w:rsidRPr="00220F0E">
              <w:rPr>
                <w:rFonts w:ascii="Work Sans" w:hAnsi="Work Sans" w:cs="Arial"/>
                <w:bCs/>
                <w:color w:val="333333"/>
                <w:sz w:val="22"/>
                <w:szCs w:val="22"/>
                <w:shd w:val="clear" w:color="auto" w:fill="FFFFFF"/>
              </w:rPr>
              <w:t>que evita problemas interpretativos que se puedan suscitar en el futuro</w:t>
            </w:r>
            <w:r w:rsidR="002A7370" w:rsidRPr="00220F0E">
              <w:rPr>
                <w:rFonts w:ascii="Work Sans" w:hAnsi="Work Sans" w:cs="Arial"/>
                <w:bCs/>
                <w:color w:val="333333"/>
                <w:sz w:val="22"/>
                <w:szCs w:val="22"/>
                <w:shd w:val="clear" w:color="auto" w:fill="FFFFFF"/>
              </w:rPr>
              <w:t xml:space="preserve"> en materia constructiva en edificaciones</w:t>
            </w:r>
            <w:r w:rsidR="00681CE3" w:rsidRPr="00220F0E">
              <w:rPr>
                <w:rFonts w:ascii="Work Sans" w:hAnsi="Work Sans" w:cs="Arial"/>
                <w:bCs/>
                <w:color w:val="333333"/>
                <w:sz w:val="22"/>
                <w:szCs w:val="22"/>
                <w:shd w:val="clear" w:color="auto" w:fill="FFFFFF"/>
              </w:rPr>
              <w:t xml:space="preserve">, además de que dicha norma no es de difícil asimilación </w:t>
            </w:r>
            <w:r w:rsidR="002A7370" w:rsidRPr="00220F0E">
              <w:rPr>
                <w:rFonts w:ascii="Work Sans" w:hAnsi="Work Sans" w:cs="Arial"/>
                <w:bCs/>
                <w:color w:val="333333"/>
                <w:sz w:val="22"/>
                <w:szCs w:val="22"/>
                <w:shd w:val="clear" w:color="auto" w:fill="FFFFFF"/>
              </w:rPr>
              <w:t>en tanto que se regula solamente lo atinente a</w:t>
            </w:r>
            <w:r w:rsidR="00681CE3" w:rsidRPr="00220F0E">
              <w:rPr>
                <w:rFonts w:ascii="Work Sans" w:hAnsi="Work Sans" w:cs="Arial"/>
                <w:bCs/>
                <w:color w:val="333333"/>
                <w:sz w:val="22"/>
                <w:szCs w:val="22"/>
                <w:shd w:val="clear" w:color="auto" w:fill="FFFFFF"/>
              </w:rPr>
              <w:t xml:space="preserve"> las alturas máximas tanto en pisos como en metros, para lo cual no se requiere un término de quince (15) días calendario</w:t>
            </w:r>
            <w:r w:rsidR="008C3A50" w:rsidRPr="00220F0E">
              <w:rPr>
                <w:rFonts w:ascii="Work Sans" w:hAnsi="Work Sans" w:cs="Arial"/>
                <w:bCs/>
                <w:color w:val="333333"/>
                <w:sz w:val="22"/>
                <w:szCs w:val="22"/>
                <w:shd w:val="clear" w:color="auto" w:fill="FFFFFF"/>
              </w:rPr>
              <w:t xml:space="preserve">, </w:t>
            </w:r>
            <w:r w:rsidR="00681CE3" w:rsidRPr="00220F0E">
              <w:rPr>
                <w:rFonts w:ascii="Work Sans" w:hAnsi="Work Sans" w:cs="Arial"/>
                <w:bCs/>
                <w:color w:val="333333"/>
                <w:sz w:val="22"/>
                <w:szCs w:val="22"/>
                <w:shd w:val="clear" w:color="auto" w:fill="FFFFFF"/>
              </w:rPr>
              <w:t>siendo en consecuencia</w:t>
            </w:r>
            <w:r w:rsidR="008C3A50" w:rsidRPr="00220F0E">
              <w:rPr>
                <w:rFonts w:ascii="Work Sans" w:hAnsi="Work Sans" w:cs="Arial"/>
                <w:bCs/>
                <w:color w:val="333333"/>
                <w:sz w:val="22"/>
                <w:szCs w:val="22"/>
                <w:shd w:val="clear" w:color="auto" w:fill="FFFFFF"/>
              </w:rPr>
              <w:t xml:space="preserve"> razonable señalar unos tiempos más reducidos para adelantar la publicación del proyecto en cuestión</w:t>
            </w:r>
            <w:r w:rsidR="00681CE3" w:rsidRPr="00220F0E">
              <w:rPr>
                <w:rFonts w:ascii="Work Sans" w:hAnsi="Work Sans" w:cs="Arial"/>
                <w:bCs/>
                <w:color w:val="333333"/>
                <w:sz w:val="22"/>
                <w:szCs w:val="22"/>
                <w:shd w:val="clear" w:color="auto" w:fill="FFFFFF"/>
              </w:rPr>
              <w:t>, es decir,</w:t>
            </w:r>
            <w:r w:rsidR="008C3A50" w:rsidRPr="00220F0E">
              <w:rPr>
                <w:rFonts w:ascii="Work Sans" w:hAnsi="Work Sans" w:cs="Arial"/>
                <w:bCs/>
                <w:color w:val="333333"/>
                <w:sz w:val="22"/>
                <w:szCs w:val="22"/>
                <w:shd w:val="clear" w:color="auto" w:fill="FFFFFF"/>
              </w:rPr>
              <w:t xml:space="preserve"> por un término de cinco (5) días calendario.</w:t>
            </w:r>
          </w:p>
        </w:tc>
      </w:tr>
      <w:tr w:rsidR="008C3A50" w:rsidRPr="00220F0E" w:rsidTr="0001350A">
        <w:tblPrEx>
          <w:tblCellMar>
            <w:top w:w="0" w:type="dxa"/>
            <w:bottom w:w="0" w:type="dxa"/>
          </w:tblCellMar>
        </w:tblPrEx>
        <w:trPr>
          <w:trHeight w:val="47"/>
        </w:trPr>
        <w:tc>
          <w:tcPr>
            <w:tcW w:w="10774" w:type="dxa"/>
            <w:gridSpan w:val="3"/>
            <w:shd w:val="clear" w:color="auto" w:fill="FFFFFF"/>
            <w:vAlign w:val="center"/>
          </w:tcPr>
          <w:p w:rsidR="008C3A50" w:rsidRPr="00220F0E" w:rsidRDefault="008C3A50" w:rsidP="0001350A">
            <w:pPr>
              <w:jc w:val="both"/>
              <w:rPr>
                <w:rFonts w:ascii="Work Sans" w:hAnsi="Work Sans" w:cs="Arial"/>
                <w:sz w:val="22"/>
                <w:szCs w:val="22"/>
                <w:lang w:eastAsia="es-CO"/>
              </w:rPr>
            </w:pPr>
          </w:p>
        </w:tc>
      </w:tr>
      <w:tr w:rsidR="008C3A50" w:rsidRPr="00220F0E" w:rsidTr="0001350A">
        <w:tblPrEx>
          <w:tblCellMar>
            <w:top w:w="0" w:type="dxa"/>
            <w:bottom w:w="0" w:type="dxa"/>
          </w:tblCellMar>
        </w:tblPrEx>
        <w:trPr>
          <w:trHeight w:val="66"/>
        </w:trPr>
        <w:tc>
          <w:tcPr>
            <w:tcW w:w="10774" w:type="dxa"/>
            <w:gridSpan w:val="3"/>
            <w:tcBorders>
              <w:top w:val="single" w:sz="4" w:space="0" w:color="auto"/>
              <w:bottom w:val="single" w:sz="4" w:space="0" w:color="auto"/>
            </w:tcBorders>
            <w:shd w:val="clear" w:color="auto" w:fill="FFFFFF"/>
            <w:vAlign w:val="center"/>
          </w:tcPr>
          <w:p w:rsidR="008C3A50" w:rsidRPr="00220F0E" w:rsidRDefault="008C3A50" w:rsidP="0001350A">
            <w:pPr>
              <w:numPr>
                <w:ilvl w:val="0"/>
                <w:numId w:val="1"/>
              </w:numPr>
              <w:ind w:left="494"/>
              <w:rPr>
                <w:rFonts w:ascii="Work Sans" w:hAnsi="Work Sans" w:cs="Arial"/>
                <w:b/>
                <w:color w:val="000000"/>
                <w:sz w:val="22"/>
                <w:szCs w:val="22"/>
              </w:rPr>
            </w:pPr>
            <w:r w:rsidRPr="00220F0E">
              <w:rPr>
                <w:rFonts w:ascii="Work Sans" w:hAnsi="Work Sans" w:cs="Arial"/>
                <w:b/>
                <w:color w:val="000000"/>
                <w:sz w:val="22"/>
                <w:szCs w:val="22"/>
              </w:rPr>
              <w:t>AMBITO DE APLICACIÓN Y SUJETOS A QUIENES VA DIRIGIDO</w:t>
            </w:r>
          </w:p>
          <w:p w:rsidR="008C3A50" w:rsidRPr="00220F0E" w:rsidRDefault="008C3A50" w:rsidP="0001350A">
            <w:pPr>
              <w:ind w:left="494"/>
              <w:rPr>
                <w:rFonts w:ascii="Work Sans" w:hAnsi="Work Sans" w:cs="Arial"/>
                <w:b/>
                <w:color w:val="000000"/>
                <w:sz w:val="22"/>
                <w:szCs w:val="22"/>
              </w:rPr>
            </w:pPr>
          </w:p>
          <w:p w:rsidR="000C6499" w:rsidRPr="00220F0E" w:rsidRDefault="008C3A50" w:rsidP="000C6499">
            <w:pPr>
              <w:ind w:left="134"/>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El ámbito de aplicación está definido en el propio PEMP, tanto en lo que atañe al área afectada como a la zona de influencia. Adicionalmente, el proyecto normativo va dirigido en primera medida a las autoridades municipales con competencia en temas urbanísticos y de planeación, así como a la ciudadanía en general que requiera adelantar trámites ante la alcaldía municipal</w:t>
            </w:r>
            <w:r w:rsidR="00681CE3" w:rsidRPr="00220F0E">
              <w:rPr>
                <w:rFonts w:ascii="Work Sans" w:hAnsi="Work Sans" w:cs="Arial"/>
                <w:bCs/>
                <w:color w:val="333333"/>
                <w:sz w:val="22"/>
                <w:szCs w:val="22"/>
                <w:shd w:val="clear" w:color="auto" w:fill="FFFFFF"/>
              </w:rPr>
              <w:t xml:space="preserve"> respecto de este sector</w:t>
            </w:r>
            <w:r w:rsidRPr="00220F0E">
              <w:rPr>
                <w:rFonts w:ascii="Work Sans" w:hAnsi="Work Sans" w:cs="Arial"/>
                <w:bCs/>
                <w:color w:val="333333"/>
                <w:sz w:val="22"/>
                <w:szCs w:val="22"/>
                <w:shd w:val="clear" w:color="auto" w:fill="FFFFFF"/>
              </w:rPr>
              <w:t xml:space="preserve">. </w:t>
            </w:r>
          </w:p>
        </w:tc>
      </w:tr>
      <w:tr w:rsidR="008C3A50" w:rsidRPr="00220F0E" w:rsidTr="0001350A">
        <w:tblPrEx>
          <w:tblCellMar>
            <w:top w:w="0" w:type="dxa"/>
            <w:bottom w:w="0" w:type="dxa"/>
          </w:tblCellMar>
        </w:tblPrEx>
        <w:trPr>
          <w:trHeight w:val="278"/>
        </w:trPr>
        <w:tc>
          <w:tcPr>
            <w:tcW w:w="10774" w:type="dxa"/>
            <w:gridSpan w:val="3"/>
            <w:tcBorders>
              <w:bottom w:val="single" w:sz="4" w:space="0" w:color="auto"/>
            </w:tcBorders>
            <w:shd w:val="clear" w:color="auto" w:fill="FFFFFF"/>
            <w:vAlign w:val="center"/>
          </w:tcPr>
          <w:p w:rsidR="008C3A50" w:rsidRPr="00220F0E" w:rsidRDefault="008C3A50" w:rsidP="0001350A">
            <w:pPr>
              <w:ind w:left="494" w:hanging="283"/>
              <w:rPr>
                <w:rFonts w:ascii="Work Sans" w:hAnsi="Work Sans" w:cs="Arial"/>
                <w:bCs/>
                <w:color w:val="333333"/>
                <w:sz w:val="22"/>
                <w:szCs w:val="22"/>
                <w:shd w:val="clear" w:color="auto" w:fill="FFFFFF"/>
              </w:rPr>
            </w:pPr>
            <w:r w:rsidRPr="00220F0E">
              <w:rPr>
                <w:rFonts w:ascii="Work Sans" w:hAnsi="Work Sans" w:cs="Arial"/>
                <w:b/>
                <w:color w:val="000000"/>
                <w:sz w:val="22"/>
                <w:szCs w:val="22"/>
              </w:rPr>
              <w:lastRenderedPageBreak/>
              <w:t>3. VIABILIDAD JURÍDICA</w:t>
            </w:r>
          </w:p>
          <w:p w:rsidR="008C3A50" w:rsidRPr="00220F0E" w:rsidRDefault="008C3A50" w:rsidP="0001350A">
            <w:pPr>
              <w:ind w:left="494" w:hanging="283"/>
              <w:rPr>
                <w:rFonts w:ascii="Work Sans" w:hAnsi="Work Sans" w:cs="Arial"/>
                <w:bCs/>
                <w:color w:val="333333"/>
                <w:sz w:val="22"/>
                <w:szCs w:val="22"/>
                <w:shd w:val="clear" w:color="auto" w:fill="FFFFFF"/>
              </w:rPr>
            </w:pPr>
          </w:p>
          <w:p w:rsidR="008C3A50" w:rsidRPr="00220F0E" w:rsidRDefault="008C3A50" w:rsidP="0001350A">
            <w:pPr>
              <w:numPr>
                <w:ilvl w:val="1"/>
                <w:numId w:val="4"/>
              </w:numPr>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Análisis de las normas que otorgan la competencia para la expedición del proyecto normativo.</w:t>
            </w:r>
          </w:p>
          <w:p w:rsidR="008C3A50" w:rsidRPr="00220F0E" w:rsidRDefault="008C3A50" w:rsidP="0001350A">
            <w:pPr>
              <w:ind w:left="494" w:hanging="283"/>
              <w:jc w:val="both"/>
              <w:rPr>
                <w:rFonts w:ascii="Work Sans" w:hAnsi="Work Sans" w:cs="Arial"/>
                <w:bCs/>
                <w:color w:val="333333"/>
                <w:sz w:val="22"/>
                <w:szCs w:val="22"/>
                <w:shd w:val="clear" w:color="auto" w:fill="FFFFFF"/>
              </w:rPr>
            </w:pPr>
          </w:p>
          <w:p w:rsidR="008C3A50" w:rsidRPr="00220F0E" w:rsidRDefault="008C3A50" w:rsidP="0001350A">
            <w:pPr>
              <w:numPr>
                <w:ilvl w:val="0"/>
                <w:numId w:val="3"/>
              </w:numPr>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Decreto 1080 del 26 de mayo de 2015 Decreto Único Reglamentario del Sector Cultura.</w:t>
            </w:r>
          </w:p>
          <w:p w:rsidR="008C3A50" w:rsidRPr="00220F0E" w:rsidRDefault="008C3A50" w:rsidP="0001350A">
            <w:pPr>
              <w:ind w:left="720"/>
              <w:jc w:val="both"/>
              <w:rPr>
                <w:rFonts w:ascii="Work Sans" w:hAnsi="Work Sans" w:cs="Arial"/>
                <w:bCs/>
                <w:color w:val="333333"/>
                <w:sz w:val="22"/>
                <w:szCs w:val="22"/>
                <w:shd w:val="clear" w:color="auto" w:fill="FFFFFF"/>
              </w:rPr>
            </w:pPr>
          </w:p>
          <w:p w:rsidR="008C3A50" w:rsidRPr="00220F0E" w:rsidRDefault="008C3A50" w:rsidP="008C3A50">
            <w:pPr>
              <w:numPr>
                <w:ilvl w:val="0"/>
                <w:numId w:val="6"/>
              </w:numPr>
              <w:ind w:left="646" w:hanging="283"/>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 xml:space="preserve">Las normas que otorgan competencias al Ministerio de Cultura sobre estos aspectos referidos a los Planes Especiales de Manejo y Protección están dadas en la Ley 397 de 1997 modificada por la Ley 1185 de 2008. </w:t>
            </w:r>
          </w:p>
          <w:p w:rsidR="008C3A50" w:rsidRPr="00220F0E" w:rsidRDefault="008C3A50" w:rsidP="0001350A">
            <w:pPr>
              <w:jc w:val="both"/>
              <w:rPr>
                <w:rFonts w:ascii="Work Sans" w:hAnsi="Work Sans" w:cs="Arial"/>
                <w:bCs/>
                <w:color w:val="333333"/>
                <w:sz w:val="22"/>
                <w:szCs w:val="22"/>
                <w:shd w:val="clear" w:color="auto" w:fill="FFFFFF"/>
              </w:rPr>
            </w:pPr>
          </w:p>
          <w:p w:rsidR="008C3A50" w:rsidRPr="00220F0E" w:rsidRDefault="008C3A50" w:rsidP="0001350A">
            <w:pPr>
              <w:numPr>
                <w:ilvl w:val="1"/>
                <w:numId w:val="4"/>
              </w:numPr>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Vigencia de la ley o norma reglamentada o desarrollada.</w:t>
            </w:r>
          </w:p>
          <w:p w:rsidR="008C3A50" w:rsidRPr="00220F0E" w:rsidRDefault="008C3A50" w:rsidP="0001350A">
            <w:pPr>
              <w:ind w:hanging="638"/>
              <w:jc w:val="both"/>
              <w:rPr>
                <w:rFonts w:ascii="Work Sans" w:hAnsi="Work Sans" w:cs="Arial"/>
                <w:bCs/>
                <w:color w:val="333333"/>
                <w:sz w:val="22"/>
                <w:szCs w:val="22"/>
                <w:shd w:val="clear" w:color="auto" w:fill="FFFFFF"/>
              </w:rPr>
            </w:pPr>
          </w:p>
          <w:p w:rsidR="008C3A50" w:rsidRPr="00220F0E" w:rsidRDefault="008C3A50" w:rsidP="008C3A50">
            <w:pPr>
              <w:numPr>
                <w:ilvl w:val="0"/>
                <w:numId w:val="5"/>
              </w:numPr>
              <w:ind w:left="638" w:hanging="283"/>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El Plan Especial de Manejo y Protección</w:t>
            </w:r>
            <w:r w:rsidR="002A7370" w:rsidRPr="00220F0E">
              <w:rPr>
                <w:rFonts w:ascii="Work Sans" w:hAnsi="Work Sans" w:cs="Arial"/>
                <w:bCs/>
                <w:color w:val="333333"/>
                <w:sz w:val="22"/>
                <w:szCs w:val="22"/>
                <w:shd w:val="clear" w:color="auto" w:fill="FFFFFF"/>
              </w:rPr>
              <w:t xml:space="preserve"> - </w:t>
            </w:r>
            <w:r w:rsidR="002A7370" w:rsidRPr="00220F0E">
              <w:rPr>
                <w:rFonts w:ascii="Work Sans" w:hAnsi="Work Sans" w:cs="Arial"/>
                <w:bCs/>
                <w:color w:val="333333"/>
                <w:sz w:val="22"/>
                <w:szCs w:val="22"/>
                <w:shd w:val="clear" w:color="auto" w:fill="FFFFFF"/>
              </w:rPr>
              <w:t xml:space="preserve">PEMP </w:t>
            </w:r>
            <w:r w:rsidR="002A7370" w:rsidRPr="00220F0E">
              <w:rPr>
                <w:rFonts w:ascii="Work Sans" w:hAnsi="Work Sans" w:cs="Arial"/>
                <w:bCs/>
                <w:color w:val="333333"/>
                <w:sz w:val="22"/>
                <w:szCs w:val="22"/>
                <w:shd w:val="clear" w:color="auto" w:fill="FFFFFF"/>
              </w:rPr>
              <w:t xml:space="preserve">del Cordón Amurallado </w:t>
            </w:r>
            <w:r w:rsidR="002A7370" w:rsidRPr="00220F0E">
              <w:rPr>
                <w:rFonts w:ascii="Work Sans" w:hAnsi="Work Sans" w:cs="Arial"/>
                <w:bCs/>
                <w:color w:val="333333"/>
                <w:sz w:val="22"/>
                <w:szCs w:val="22"/>
                <w:shd w:val="clear" w:color="auto" w:fill="FFFFFF"/>
              </w:rPr>
              <w:t xml:space="preserve">y </w:t>
            </w:r>
            <w:r w:rsidR="002A7370" w:rsidRPr="00220F0E">
              <w:rPr>
                <w:rFonts w:ascii="Work Sans" w:hAnsi="Work Sans" w:cs="Arial"/>
                <w:bCs/>
                <w:color w:val="333333"/>
                <w:sz w:val="22"/>
                <w:szCs w:val="22"/>
                <w:shd w:val="clear" w:color="auto" w:fill="FFFFFF"/>
              </w:rPr>
              <w:t xml:space="preserve">Castillo </w:t>
            </w:r>
            <w:r w:rsidR="002A7370" w:rsidRPr="00220F0E">
              <w:rPr>
                <w:rFonts w:ascii="Work Sans" w:hAnsi="Work Sans" w:cs="Arial"/>
                <w:bCs/>
                <w:color w:val="333333"/>
                <w:sz w:val="22"/>
                <w:szCs w:val="22"/>
                <w:shd w:val="clear" w:color="auto" w:fill="FFFFFF"/>
              </w:rPr>
              <w:t xml:space="preserve">de </w:t>
            </w:r>
            <w:r w:rsidR="002A7370" w:rsidRPr="00220F0E">
              <w:rPr>
                <w:rFonts w:ascii="Work Sans" w:hAnsi="Work Sans" w:cs="Arial"/>
                <w:bCs/>
                <w:color w:val="333333"/>
                <w:sz w:val="22"/>
                <w:szCs w:val="22"/>
                <w:shd w:val="clear" w:color="auto" w:fill="FFFFFF"/>
              </w:rPr>
              <w:t xml:space="preserve">San </w:t>
            </w:r>
            <w:r w:rsidR="002A7370" w:rsidRPr="00220F0E">
              <w:rPr>
                <w:rFonts w:ascii="Work Sans" w:hAnsi="Work Sans" w:cs="Arial"/>
                <w:bCs/>
                <w:color w:val="333333"/>
                <w:sz w:val="22"/>
                <w:szCs w:val="22"/>
                <w:shd w:val="clear" w:color="auto" w:fill="FFFFFF"/>
              </w:rPr>
              <w:t xml:space="preserve">Felipe de </w:t>
            </w:r>
            <w:r w:rsidR="002A7370" w:rsidRPr="00220F0E">
              <w:rPr>
                <w:rFonts w:ascii="Work Sans" w:hAnsi="Work Sans" w:cs="Arial"/>
                <w:bCs/>
                <w:color w:val="333333"/>
                <w:sz w:val="22"/>
                <w:szCs w:val="22"/>
                <w:shd w:val="clear" w:color="auto" w:fill="FFFFFF"/>
              </w:rPr>
              <w:t xml:space="preserve">Barajas, el cual </w:t>
            </w:r>
            <w:r w:rsidRPr="00220F0E">
              <w:rPr>
                <w:rFonts w:ascii="Work Sans" w:hAnsi="Work Sans" w:cs="Arial"/>
                <w:bCs/>
                <w:color w:val="333333"/>
                <w:sz w:val="22"/>
                <w:szCs w:val="22"/>
                <w:shd w:val="clear" w:color="auto" w:fill="FFFFFF"/>
              </w:rPr>
              <w:t>entró en vigencia a partir de su publicación en el Diario Oficial.</w:t>
            </w:r>
            <w:r w:rsidR="002A7370" w:rsidRPr="00220F0E">
              <w:rPr>
                <w:rFonts w:ascii="Work Sans" w:hAnsi="Work Sans" w:cs="Arial"/>
                <w:bCs/>
                <w:color w:val="333333"/>
                <w:sz w:val="22"/>
                <w:szCs w:val="22"/>
                <w:shd w:val="clear" w:color="auto" w:fill="FFFFFF"/>
              </w:rPr>
              <w:t xml:space="preserve"> (</w:t>
            </w:r>
            <w:r w:rsidR="002A7370" w:rsidRPr="00220F0E">
              <w:rPr>
                <w:rFonts w:ascii="Work Sans" w:hAnsi="Work Sans" w:cs="Arial"/>
                <w:bCs/>
                <w:color w:val="333333"/>
                <w:sz w:val="22"/>
                <w:szCs w:val="22"/>
                <w:shd w:val="clear" w:color="auto" w:fill="FFFFFF"/>
              </w:rPr>
              <w:t>Resolución 1560 del 22 de mayo de 2018</w:t>
            </w:r>
            <w:r w:rsidR="002A7370" w:rsidRPr="00220F0E">
              <w:rPr>
                <w:rFonts w:ascii="Work Sans" w:hAnsi="Work Sans" w:cs="Arial"/>
                <w:bCs/>
                <w:color w:val="333333"/>
                <w:sz w:val="22"/>
                <w:szCs w:val="22"/>
                <w:shd w:val="clear" w:color="auto" w:fill="FFFFFF"/>
              </w:rPr>
              <w:t>).</w:t>
            </w:r>
          </w:p>
          <w:p w:rsidR="008C3A50" w:rsidRPr="00220F0E" w:rsidRDefault="008C3A50" w:rsidP="0001350A">
            <w:pPr>
              <w:jc w:val="both"/>
              <w:rPr>
                <w:rFonts w:ascii="Work Sans" w:hAnsi="Work Sans" w:cs="Arial"/>
                <w:bCs/>
                <w:color w:val="333333"/>
                <w:sz w:val="22"/>
                <w:szCs w:val="22"/>
                <w:shd w:val="clear" w:color="auto" w:fill="FFFFFF"/>
              </w:rPr>
            </w:pPr>
          </w:p>
          <w:p w:rsidR="008C3A50" w:rsidRPr="00220F0E" w:rsidRDefault="008C3A50" w:rsidP="0001350A">
            <w:pPr>
              <w:ind w:left="494" w:hanging="283"/>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3.3. Disposiciones derogas, subrogadas, modificadas, adicionadas o sustituidas.</w:t>
            </w:r>
          </w:p>
          <w:p w:rsidR="008C3A50" w:rsidRPr="00220F0E" w:rsidRDefault="008C3A50" w:rsidP="0001350A">
            <w:pPr>
              <w:ind w:left="494" w:hanging="283"/>
              <w:jc w:val="both"/>
              <w:rPr>
                <w:rFonts w:ascii="Work Sans" w:hAnsi="Work Sans" w:cs="Arial"/>
                <w:bCs/>
                <w:color w:val="333333"/>
                <w:sz w:val="22"/>
                <w:szCs w:val="22"/>
                <w:shd w:val="clear" w:color="auto" w:fill="FFFFFF"/>
              </w:rPr>
            </w:pPr>
          </w:p>
          <w:p w:rsidR="008C3A50" w:rsidRPr="00220F0E" w:rsidRDefault="000C6499" w:rsidP="0001350A">
            <w:pPr>
              <w:ind w:left="571"/>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Modificar el Artículo 15 parcialmente</w:t>
            </w:r>
            <w:r w:rsidR="008C3A50" w:rsidRPr="00220F0E">
              <w:rPr>
                <w:rFonts w:ascii="Work Sans" w:hAnsi="Work Sans" w:cs="Arial"/>
                <w:bCs/>
                <w:color w:val="333333"/>
                <w:sz w:val="22"/>
                <w:szCs w:val="22"/>
                <w:shd w:val="clear" w:color="auto" w:fill="FFFFFF"/>
              </w:rPr>
              <w:t xml:space="preserve"> de la Resolución </w:t>
            </w:r>
            <w:r w:rsidRPr="00220F0E">
              <w:rPr>
                <w:rFonts w:ascii="Work Sans" w:hAnsi="Work Sans" w:cs="Arial"/>
                <w:bCs/>
                <w:color w:val="333333"/>
                <w:sz w:val="22"/>
                <w:szCs w:val="22"/>
                <w:shd w:val="clear" w:color="auto" w:fill="FFFFFF"/>
              </w:rPr>
              <w:t>1560 de 2018.</w:t>
            </w:r>
          </w:p>
          <w:p w:rsidR="008C3A50" w:rsidRPr="00220F0E" w:rsidRDefault="008C3A50" w:rsidP="0001350A">
            <w:pPr>
              <w:ind w:left="494" w:hanging="283"/>
              <w:jc w:val="both"/>
              <w:rPr>
                <w:rFonts w:ascii="Work Sans" w:hAnsi="Work Sans" w:cs="Arial"/>
                <w:bCs/>
                <w:color w:val="333333"/>
                <w:sz w:val="22"/>
                <w:szCs w:val="22"/>
                <w:shd w:val="clear" w:color="auto" w:fill="FFFFFF"/>
              </w:rPr>
            </w:pPr>
          </w:p>
          <w:p w:rsidR="008C3A50" w:rsidRPr="00220F0E" w:rsidRDefault="008C3A50" w:rsidP="0001350A">
            <w:pPr>
              <w:numPr>
                <w:ilvl w:val="1"/>
                <w:numId w:val="4"/>
              </w:numPr>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Revisión y análisis de la jurisprudencia que tenga impacto o sea relevante para la expedición del proyecto normativo (órganos de cierre de cada jurisdicción)</w:t>
            </w:r>
          </w:p>
          <w:p w:rsidR="008C3A50" w:rsidRPr="00220F0E" w:rsidRDefault="008C3A50" w:rsidP="0001350A">
            <w:pPr>
              <w:ind w:left="571"/>
              <w:jc w:val="both"/>
              <w:rPr>
                <w:rFonts w:ascii="Work Sans" w:hAnsi="Work Sans" w:cs="Arial"/>
                <w:bCs/>
                <w:color w:val="333333"/>
                <w:sz w:val="22"/>
                <w:szCs w:val="22"/>
                <w:shd w:val="clear" w:color="auto" w:fill="FFFFFF"/>
              </w:rPr>
            </w:pPr>
          </w:p>
          <w:p w:rsidR="008C3A50" w:rsidRPr="00220F0E" w:rsidRDefault="000C6499" w:rsidP="0001350A">
            <w:pPr>
              <w:ind w:left="571"/>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 xml:space="preserve">No se encuentra jurisprudencia relevante y pertinente </w:t>
            </w:r>
            <w:r w:rsidRPr="00220F0E">
              <w:rPr>
                <w:rFonts w:ascii="Work Sans" w:hAnsi="Work Sans" w:cs="Arial"/>
                <w:bCs/>
                <w:color w:val="333333"/>
                <w:sz w:val="22"/>
                <w:szCs w:val="22"/>
                <w:shd w:val="clear" w:color="auto" w:fill="FFFFFF"/>
              </w:rPr>
              <w:t>desde las altas Cortes</w:t>
            </w:r>
            <w:r w:rsidRPr="00220F0E">
              <w:rPr>
                <w:rFonts w:ascii="Work Sans" w:hAnsi="Work Sans" w:cs="Arial"/>
                <w:bCs/>
                <w:color w:val="333333"/>
                <w:sz w:val="22"/>
                <w:szCs w:val="22"/>
                <w:shd w:val="clear" w:color="auto" w:fill="FFFFFF"/>
              </w:rPr>
              <w:t xml:space="preserve">, que se haya expedido en materia de PEMP. </w:t>
            </w:r>
          </w:p>
          <w:p w:rsidR="008C3A50" w:rsidRPr="00220F0E" w:rsidRDefault="008C3A50" w:rsidP="0001350A">
            <w:pPr>
              <w:ind w:left="494" w:hanging="283"/>
              <w:jc w:val="both"/>
              <w:rPr>
                <w:rFonts w:ascii="Work Sans" w:hAnsi="Work Sans" w:cs="Arial"/>
                <w:bCs/>
                <w:color w:val="333333"/>
                <w:sz w:val="22"/>
                <w:szCs w:val="22"/>
                <w:shd w:val="clear" w:color="auto" w:fill="FFFFFF"/>
              </w:rPr>
            </w:pPr>
          </w:p>
          <w:p w:rsidR="008C3A50" w:rsidRPr="00220F0E" w:rsidRDefault="008C3A50" w:rsidP="0001350A">
            <w:pPr>
              <w:numPr>
                <w:ilvl w:val="1"/>
                <w:numId w:val="4"/>
              </w:numPr>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Circunstancias jurídicas adicionales.</w:t>
            </w:r>
          </w:p>
          <w:p w:rsidR="008C3A50" w:rsidRPr="00220F0E" w:rsidRDefault="008C3A50" w:rsidP="0001350A">
            <w:pPr>
              <w:ind w:left="571"/>
              <w:jc w:val="both"/>
              <w:rPr>
                <w:rFonts w:ascii="Work Sans" w:hAnsi="Work Sans" w:cs="Arial"/>
                <w:bCs/>
                <w:color w:val="333333"/>
                <w:sz w:val="22"/>
                <w:szCs w:val="22"/>
                <w:shd w:val="clear" w:color="auto" w:fill="FFFFFF"/>
              </w:rPr>
            </w:pPr>
          </w:p>
          <w:p w:rsidR="008C3A50" w:rsidRPr="00220F0E" w:rsidRDefault="000C6499" w:rsidP="0001350A">
            <w:pPr>
              <w:ind w:left="571"/>
              <w:jc w:val="both"/>
              <w:rPr>
                <w:rFonts w:ascii="Work Sans" w:hAnsi="Work Sans" w:cs="Arial"/>
                <w:bCs/>
                <w:color w:val="333333"/>
                <w:sz w:val="22"/>
                <w:szCs w:val="22"/>
                <w:shd w:val="clear" w:color="auto" w:fill="FFFFFF"/>
              </w:rPr>
            </w:pPr>
            <w:r w:rsidRPr="00220F0E">
              <w:rPr>
                <w:rFonts w:ascii="Work Sans" w:hAnsi="Work Sans" w:cs="Arial"/>
                <w:bCs/>
                <w:color w:val="333333"/>
                <w:sz w:val="22"/>
                <w:szCs w:val="22"/>
                <w:shd w:val="clear" w:color="auto" w:fill="FFFFFF"/>
              </w:rPr>
              <w:t>No se señalan circunstancias jurídicas adicionales que sean relevantes</w:t>
            </w:r>
            <w:r w:rsidR="008C3A50" w:rsidRPr="00220F0E">
              <w:rPr>
                <w:rFonts w:ascii="Work Sans" w:hAnsi="Work Sans" w:cs="Arial"/>
                <w:bCs/>
                <w:color w:val="333333"/>
                <w:sz w:val="22"/>
                <w:szCs w:val="22"/>
                <w:shd w:val="clear" w:color="auto" w:fill="FFFFFF"/>
              </w:rPr>
              <w:t>.</w:t>
            </w:r>
          </w:p>
          <w:p w:rsidR="008C3A50" w:rsidRPr="00220F0E" w:rsidRDefault="008C3A50" w:rsidP="0001350A">
            <w:pPr>
              <w:ind w:left="211"/>
              <w:jc w:val="both"/>
              <w:rPr>
                <w:rFonts w:ascii="Work Sans" w:hAnsi="Work Sans" w:cs="Arial"/>
                <w:sz w:val="22"/>
                <w:szCs w:val="22"/>
                <w:lang w:val="es-CO" w:eastAsia="es-CO"/>
              </w:rPr>
            </w:pPr>
            <w:r w:rsidRPr="00220F0E">
              <w:rPr>
                <w:rFonts w:ascii="Work Sans" w:hAnsi="Work Sans" w:cs="Arial"/>
                <w:sz w:val="22"/>
                <w:szCs w:val="22"/>
                <w:lang w:val="es-CO" w:eastAsia="es-CO"/>
              </w:rPr>
              <w:t xml:space="preserve"> </w:t>
            </w:r>
          </w:p>
        </w:tc>
      </w:tr>
      <w:tr w:rsidR="008C3A50" w:rsidRPr="00220F0E" w:rsidTr="0001350A">
        <w:tblPrEx>
          <w:tblCellMar>
            <w:top w:w="0" w:type="dxa"/>
            <w:bottom w:w="0" w:type="dxa"/>
          </w:tblCellMar>
        </w:tblPrEx>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A50" w:rsidRPr="00220F0E" w:rsidRDefault="008C3A50" w:rsidP="0001350A">
            <w:pPr>
              <w:rPr>
                <w:rFonts w:ascii="Work Sans" w:hAnsi="Work Sans" w:cs="Arial"/>
                <w:b/>
                <w:color w:val="000000"/>
                <w:sz w:val="22"/>
                <w:szCs w:val="22"/>
              </w:rPr>
            </w:pPr>
          </w:p>
          <w:p w:rsidR="008C3A50" w:rsidRPr="00220F0E" w:rsidRDefault="008C3A50" w:rsidP="0001350A">
            <w:pPr>
              <w:numPr>
                <w:ilvl w:val="0"/>
                <w:numId w:val="2"/>
              </w:numPr>
              <w:rPr>
                <w:rFonts w:ascii="Work Sans" w:hAnsi="Work Sans" w:cs="Arial"/>
                <w:b/>
                <w:color w:val="000000"/>
                <w:sz w:val="22"/>
                <w:szCs w:val="22"/>
              </w:rPr>
            </w:pPr>
            <w:r w:rsidRPr="00220F0E">
              <w:rPr>
                <w:rFonts w:ascii="Work Sans" w:hAnsi="Work Sans" w:cs="Arial"/>
                <w:b/>
                <w:color w:val="000000"/>
                <w:sz w:val="22"/>
                <w:szCs w:val="22"/>
              </w:rPr>
              <w:t xml:space="preserve">IMPACTO ECONÓMICO </w:t>
            </w:r>
            <w:r w:rsidRPr="00220F0E">
              <w:rPr>
                <w:rFonts w:ascii="Work Sans" w:hAnsi="Work Sans" w:cs="Arial"/>
                <w:color w:val="000000"/>
                <w:sz w:val="22"/>
                <w:szCs w:val="22"/>
              </w:rPr>
              <w:t>(Si se requiere)</w:t>
            </w:r>
          </w:p>
          <w:p w:rsidR="008C3A50" w:rsidRPr="00220F0E" w:rsidRDefault="008C3A50" w:rsidP="0001350A">
            <w:pPr>
              <w:jc w:val="both"/>
              <w:rPr>
                <w:rFonts w:ascii="Work Sans" w:hAnsi="Work Sans" w:cs="Arial"/>
                <w:color w:val="808080"/>
                <w:sz w:val="22"/>
                <w:szCs w:val="22"/>
              </w:rPr>
            </w:pPr>
          </w:p>
          <w:p w:rsidR="008C3A50" w:rsidRPr="00220F0E" w:rsidRDefault="008C3A50" w:rsidP="0001350A">
            <w:pPr>
              <w:jc w:val="both"/>
              <w:rPr>
                <w:rFonts w:ascii="Work Sans" w:hAnsi="Work Sans" w:cs="Arial"/>
                <w:color w:val="808080"/>
                <w:sz w:val="22"/>
                <w:szCs w:val="22"/>
              </w:rPr>
            </w:pPr>
          </w:p>
        </w:tc>
      </w:tr>
      <w:tr w:rsidR="008C3A50" w:rsidRPr="00220F0E" w:rsidTr="0001350A">
        <w:tblPrEx>
          <w:tblCellMar>
            <w:top w:w="0" w:type="dxa"/>
            <w:bottom w:w="0" w:type="dxa"/>
          </w:tblCellMar>
        </w:tblPrEx>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A50" w:rsidRPr="00220F0E" w:rsidRDefault="008C3A50" w:rsidP="0001350A">
            <w:pPr>
              <w:rPr>
                <w:rFonts w:ascii="Work Sans" w:hAnsi="Work Sans" w:cs="Arial"/>
                <w:b/>
                <w:color w:val="000000"/>
                <w:sz w:val="22"/>
                <w:szCs w:val="22"/>
              </w:rPr>
            </w:pPr>
          </w:p>
          <w:p w:rsidR="008C3A50" w:rsidRPr="00220F0E" w:rsidRDefault="008C3A50" w:rsidP="0001350A">
            <w:pPr>
              <w:numPr>
                <w:ilvl w:val="0"/>
                <w:numId w:val="2"/>
              </w:numPr>
              <w:rPr>
                <w:rFonts w:ascii="Work Sans" w:hAnsi="Work Sans" w:cs="Arial"/>
                <w:b/>
                <w:color w:val="000000"/>
                <w:sz w:val="22"/>
                <w:szCs w:val="22"/>
              </w:rPr>
            </w:pPr>
            <w:r w:rsidRPr="00220F0E">
              <w:rPr>
                <w:rFonts w:ascii="Work Sans" w:hAnsi="Work Sans" w:cs="Arial"/>
                <w:b/>
                <w:color w:val="000000"/>
                <w:sz w:val="22"/>
                <w:szCs w:val="22"/>
              </w:rPr>
              <w:t xml:space="preserve">VIABILIDAD O DISPONIBILIDAD PRESUPUESTAL </w:t>
            </w:r>
            <w:r w:rsidRPr="00220F0E">
              <w:rPr>
                <w:rFonts w:ascii="Work Sans" w:hAnsi="Work Sans" w:cs="Arial"/>
                <w:color w:val="000000"/>
                <w:sz w:val="22"/>
                <w:szCs w:val="22"/>
              </w:rPr>
              <w:t>(Si se requiere)</w:t>
            </w:r>
          </w:p>
          <w:p w:rsidR="008C3A50" w:rsidRPr="00220F0E" w:rsidRDefault="008C3A50" w:rsidP="0001350A">
            <w:pPr>
              <w:jc w:val="both"/>
              <w:rPr>
                <w:rFonts w:ascii="Work Sans" w:hAnsi="Work Sans" w:cs="Arial"/>
                <w:color w:val="808080"/>
                <w:sz w:val="22"/>
                <w:szCs w:val="22"/>
              </w:rPr>
            </w:pPr>
          </w:p>
          <w:p w:rsidR="008C3A50" w:rsidRPr="00220F0E" w:rsidRDefault="000C6499" w:rsidP="00220F0E">
            <w:pPr>
              <w:ind w:left="280"/>
              <w:jc w:val="both"/>
              <w:rPr>
                <w:rFonts w:ascii="Work Sans" w:hAnsi="Work Sans" w:cs="Arial"/>
                <w:sz w:val="22"/>
                <w:szCs w:val="22"/>
                <w:lang w:val="es-CO" w:eastAsia="es-CO"/>
              </w:rPr>
            </w:pPr>
            <w:r w:rsidRPr="00220F0E">
              <w:rPr>
                <w:rFonts w:ascii="Work Sans" w:hAnsi="Work Sans" w:cs="Arial"/>
                <w:sz w:val="22"/>
                <w:szCs w:val="22"/>
                <w:lang w:val="es-CO" w:eastAsia="es-CO"/>
              </w:rPr>
              <w:t xml:space="preserve">Desde el Ministerio no se requiere una disponibilidad presupuestal para atender el tema en cuestión. </w:t>
            </w:r>
          </w:p>
          <w:p w:rsidR="008C3A50" w:rsidRPr="00220F0E" w:rsidRDefault="008C3A50" w:rsidP="0001350A">
            <w:pPr>
              <w:jc w:val="both"/>
              <w:rPr>
                <w:rFonts w:ascii="Work Sans" w:hAnsi="Work Sans" w:cs="Arial"/>
                <w:sz w:val="22"/>
                <w:szCs w:val="22"/>
                <w:lang w:eastAsia="es-CO"/>
              </w:rPr>
            </w:pPr>
          </w:p>
        </w:tc>
      </w:tr>
      <w:tr w:rsidR="008C3A50" w:rsidRPr="00220F0E" w:rsidTr="0001350A">
        <w:tblPrEx>
          <w:tblCellMar>
            <w:top w:w="0" w:type="dxa"/>
            <w:bottom w:w="0" w:type="dxa"/>
          </w:tblCellMar>
        </w:tblPrEx>
        <w:trPr>
          <w:trHeight w:val="1295"/>
        </w:trPr>
        <w:tc>
          <w:tcPr>
            <w:tcW w:w="10774" w:type="dxa"/>
            <w:gridSpan w:val="3"/>
            <w:tcBorders>
              <w:top w:val="single" w:sz="4" w:space="0" w:color="auto"/>
              <w:bottom w:val="single" w:sz="4" w:space="0" w:color="auto"/>
            </w:tcBorders>
            <w:shd w:val="clear" w:color="auto" w:fill="FFFFFF"/>
            <w:vAlign w:val="center"/>
          </w:tcPr>
          <w:p w:rsidR="008C3A50" w:rsidRPr="00220F0E" w:rsidRDefault="008C3A50" w:rsidP="0001350A">
            <w:pPr>
              <w:numPr>
                <w:ilvl w:val="0"/>
                <w:numId w:val="2"/>
              </w:numPr>
              <w:jc w:val="both"/>
              <w:rPr>
                <w:rFonts w:ascii="Work Sans" w:hAnsi="Work Sans" w:cs="Arial"/>
                <w:b/>
                <w:color w:val="000000"/>
                <w:sz w:val="22"/>
                <w:szCs w:val="22"/>
              </w:rPr>
            </w:pPr>
            <w:r w:rsidRPr="00220F0E">
              <w:rPr>
                <w:rFonts w:ascii="Work Sans" w:hAnsi="Work Sans" w:cs="Arial"/>
                <w:b/>
                <w:color w:val="000000"/>
                <w:sz w:val="22"/>
                <w:szCs w:val="22"/>
              </w:rPr>
              <w:t xml:space="preserve"> IMPACTO MEDIOAMBIENTAL O SOBRE EL PATRIMONIO CULTURAL DE LA NACIÓN </w:t>
            </w:r>
            <w:r w:rsidRPr="00220F0E">
              <w:rPr>
                <w:rFonts w:ascii="Work Sans" w:hAnsi="Work Sans" w:cs="Arial"/>
                <w:color w:val="000000"/>
                <w:sz w:val="22"/>
                <w:szCs w:val="22"/>
              </w:rPr>
              <w:t>(Si se requiere)</w:t>
            </w:r>
          </w:p>
          <w:p w:rsidR="008C3A50" w:rsidRPr="00220F0E" w:rsidRDefault="008C3A50" w:rsidP="0001350A">
            <w:pPr>
              <w:ind w:left="720"/>
              <w:jc w:val="both"/>
              <w:rPr>
                <w:rFonts w:ascii="Work Sans" w:hAnsi="Work Sans" w:cs="Arial"/>
                <w:b/>
                <w:color w:val="000000"/>
                <w:sz w:val="22"/>
                <w:szCs w:val="22"/>
              </w:rPr>
            </w:pPr>
          </w:p>
          <w:p w:rsidR="008C3A50" w:rsidRPr="00220F0E" w:rsidRDefault="000C6499" w:rsidP="00220F0E">
            <w:pPr>
              <w:ind w:left="421"/>
              <w:jc w:val="both"/>
              <w:rPr>
                <w:rFonts w:ascii="Work Sans" w:hAnsi="Work Sans" w:cs="Arial"/>
                <w:color w:val="808080"/>
                <w:sz w:val="22"/>
                <w:szCs w:val="22"/>
              </w:rPr>
            </w:pPr>
            <w:r w:rsidRPr="00220F0E">
              <w:rPr>
                <w:rFonts w:ascii="Work Sans" w:hAnsi="Work Sans" w:cs="Arial"/>
                <w:sz w:val="22"/>
                <w:szCs w:val="22"/>
                <w:lang w:val="es-CO" w:eastAsia="es-CO"/>
              </w:rPr>
              <w:t>Hay un impacto positivo sobre el patrimonio cultural, en la medida en que evita que se sigan generando edificaciones que con la altura puedan llegar afectar el contexto espacial – histórico de la ciudad de Cartagena en su componente patrimonial.</w:t>
            </w:r>
            <w:r w:rsidRPr="00220F0E">
              <w:rPr>
                <w:rFonts w:ascii="Work Sans" w:hAnsi="Work Sans" w:cs="Arial"/>
                <w:color w:val="808080"/>
                <w:sz w:val="22"/>
                <w:szCs w:val="22"/>
              </w:rPr>
              <w:t xml:space="preserve">  </w:t>
            </w:r>
          </w:p>
          <w:p w:rsidR="000C6499" w:rsidRPr="00220F0E" w:rsidRDefault="000C6499" w:rsidP="0001350A">
            <w:pPr>
              <w:jc w:val="both"/>
              <w:rPr>
                <w:rFonts w:ascii="Work Sans" w:hAnsi="Work Sans" w:cs="Arial"/>
                <w:color w:val="808080"/>
                <w:sz w:val="22"/>
                <w:szCs w:val="22"/>
              </w:rPr>
            </w:pPr>
          </w:p>
        </w:tc>
      </w:tr>
      <w:tr w:rsidR="008C3A50" w:rsidRPr="00220F0E" w:rsidTr="0001350A">
        <w:tblPrEx>
          <w:tblCellMar>
            <w:top w:w="0" w:type="dxa"/>
            <w:bottom w:w="0" w:type="dxa"/>
          </w:tblCellMar>
        </w:tblPrEx>
        <w:trPr>
          <w:trHeight w:val="317"/>
        </w:trPr>
        <w:tc>
          <w:tcPr>
            <w:tcW w:w="10774" w:type="dxa"/>
            <w:gridSpan w:val="3"/>
            <w:tcBorders>
              <w:top w:val="single" w:sz="4" w:space="0" w:color="auto"/>
              <w:bottom w:val="single" w:sz="4" w:space="0" w:color="auto"/>
            </w:tcBorders>
            <w:shd w:val="clear" w:color="auto" w:fill="FFFFFF"/>
            <w:vAlign w:val="center"/>
          </w:tcPr>
          <w:p w:rsidR="008C3A50" w:rsidRPr="00220F0E" w:rsidRDefault="008C3A50" w:rsidP="0001350A">
            <w:pPr>
              <w:numPr>
                <w:ilvl w:val="0"/>
                <w:numId w:val="2"/>
              </w:numPr>
              <w:jc w:val="both"/>
              <w:rPr>
                <w:rFonts w:ascii="Work Sans" w:hAnsi="Work Sans" w:cs="Arial"/>
                <w:sz w:val="22"/>
                <w:szCs w:val="22"/>
              </w:rPr>
            </w:pPr>
            <w:r w:rsidRPr="00220F0E">
              <w:rPr>
                <w:rFonts w:ascii="Work Sans" w:hAnsi="Work Sans" w:cs="Arial"/>
                <w:b/>
                <w:sz w:val="22"/>
                <w:szCs w:val="22"/>
              </w:rPr>
              <w:t>ESTUDIOS TÉCNICOS QUE SUSTENTEN EL PROYECTO NORMATIVO</w:t>
            </w:r>
            <w:r w:rsidRPr="00220F0E">
              <w:rPr>
                <w:rFonts w:ascii="Work Sans" w:hAnsi="Work Sans" w:cs="Arial"/>
                <w:sz w:val="22"/>
                <w:szCs w:val="22"/>
              </w:rPr>
              <w:t xml:space="preserve"> </w:t>
            </w:r>
          </w:p>
          <w:p w:rsidR="008C3A50" w:rsidRPr="00220F0E" w:rsidRDefault="008C3A50" w:rsidP="0001350A">
            <w:pPr>
              <w:ind w:left="360"/>
              <w:jc w:val="both"/>
              <w:rPr>
                <w:rFonts w:ascii="Work Sans" w:hAnsi="Work Sans" w:cs="Arial"/>
                <w:sz w:val="22"/>
                <w:szCs w:val="22"/>
              </w:rPr>
            </w:pPr>
          </w:p>
          <w:p w:rsidR="008C3A50" w:rsidRPr="00220F0E" w:rsidRDefault="000C6499" w:rsidP="0001350A">
            <w:pPr>
              <w:ind w:left="360"/>
              <w:jc w:val="both"/>
              <w:rPr>
                <w:rFonts w:ascii="Work Sans" w:hAnsi="Work Sans" w:cs="Arial"/>
                <w:sz w:val="22"/>
                <w:szCs w:val="22"/>
              </w:rPr>
            </w:pPr>
            <w:r w:rsidRPr="00220F0E">
              <w:rPr>
                <w:rFonts w:ascii="Work Sans" w:hAnsi="Work Sans" w:cs="Arial"/>
                <w:sz w:val="22"/>
                <w:szCs w:val="22"/>
              </w:rPr>
              <w:t xml:space="preserve">El Consejo Nacional de Patrimonio Cultural </w:t>
            </w:r>
            <w:r w:rsidR="008C3A50" w:rsidRPr="00220F0E">
              <w:rPr>
                <w:rFonts w:ascii="Work Sans" w:hAnsi="Work Sans" w:cs="Arial"/>
                <w:sz w:val="22"/>
                <w:szCs w:val="22"/>
              </w:rPr>
              <w:t>analizó la conveniencia de realizar una acción en el</w:t>
            </w:r>
            <w:r w:rsidRPr="00220F0E">
              <w:rPr>
                <w:rFonts w:ascii="Work Sans" w:hAnsi="Work Sans" w:cs="Arial"/>
                <w:sz w:val="22"/>
                <w:szCs w:val="22"/>
              </w:rPr>
              <w:t xml:space="preserve"> sentido de establecer una normatividad que permita que hacia el futuro no se sigan transgrediendo las alturas en razón a la </w:t>
            </w:r>
            <w:r w:rsidR="00220F0E" w:rsidRPr="00220F0E">
              <w:rPr>
                <w:rFonts w:ascii="Work Sans" w:hAnsi="Work Sans" w:cs="Arial"/>
                <w:sz w:val="22"/>
                <w:szCs w:val="22"/>
              </w:rPr>
              <w:t>poca claridad de la normatividad existente</w:t>
            </w:r>
            <w:r w:rsidR="008C3A50" w:rsidRPr="00220F0E">
              <w:rPr>
                <w:rFonts w:ascii="Work Sans" w:hAnsi="Work Sans" w:cs="Arial"/>
                <w:sz w:val="22"/>
                <w:szCs w:val="22"/>
              </w:rPr>
              <w:t xml:space="preserve"> </w:t>
            </w:r>
          </w:p>
          <w:p w:rsidR="008C3A50" w:rsidRPr="00220F0E" w:rsidRDefault="008C3A50" w:rsidP="0001350A">
            <w:pPr>
              <w:ind w:left="360"/>
              <w:jc w:val="both"/>
              <w:rPr>
                <w:rFonts w:ascii="Work Sans" w:hAnsi="Work Sans" w:cs="Arial"/>
                <w:sz w:val="22"/>
                <w:szCs w:val="22"/>
              </w:rPr>
            </w:pPr>
          </w:p>
          <w:p w:rsidR="008C3A50" w:rsidRPr="00220F0E" w:rsidRDefault="000C6499" w:rsidP="0001350A">
            <w:pPr>
              <w:ind w:left="360"/>
              <w:jc w:val="both"/>
              <w:rPr>
                <w:rFonts w:ascii="Work Sans" w:hAnsi="Work Sans" w:cs="Arial"/>
                <w:sz w:val="22"/>
                <w:szCs w:val="22"/>
              </w:rPr>
            </w:pPr>
            <w:r w:rsidRPr="00220F0E">
              <w:rPr>
                <w:rFonts w:ascii="Work Sans" w:hAnsi="Work Sans" w:cs="Arial"/>
                <w:sz w:val="22"/>
                <w:szCs w:val="22"/>
              </w:rPr>
              <w:t>(Ver Presentación</w:t>
            </w:r>
            <w:r w:rsidR="00220F0E" w:rsidRPr="00220F0E">
              <w:rPr>
                <w:rFonts w:ascii="Work Sans" w:hAnsi="Work Sans" w:cs="Arial"/>
                <w:sz w:val="22"/>
                <w:szCs w:val="22"/>
              </w:rPr>
              <w:t xml:space="preserve"> de la Dirección de Patrimonio y Memoria </w:t>
            </w:r>
            <w:r w:rsidRPr="00220F0E">
              <w:rPr>
                <w:rFonts w:ascii="Work Sans" w:hAnsi="Work Sans" w:cs="Arial"/>
                <w:sz w:val="22"/>
                <w:szCs w:val="22"/>
              </w:rPr>
              <w:t>y</w:t>
            </w:r>
            <w:r w:rsidR="00220F0E" w:rsidRPr="00220F0E">
              <w:rPr>
                <w:rFonts w:ascii="Work Sans" w:hAnsi="Work Sans" w:cs="Arial"/>
                <w:sz w:val="22"/>
                <w:szCs w:val="22"/>
              </w:rPr>
              <w:t xml:space="preserve"> el</w:t>
            </w:r>
            <w:r w:rsidRPr="00220F0E">
              <w:rPr>
                <w:rFonts w:ascii="Work Sans" w:hAnsi="Work Sans" w:cs="Arial"/>
                <w:sz w:val="22"/>
                <w:szCs w:val="22"/>
              </w:rPr>
              <w:t xml:space="preserve"> Acta</w:t>
            </w:r>
            <w:r w:rsidR="008C3A50" w:rsidRPr="00220F0E">
              <w:rPr>
                <w:rFonts w:ascii="Work Sans" w:hAnsi="Work Sans" w:cs="Arial"/>
                <w:sz w:val="22"/>
                <w:szCs w:val="22"/>
              </w:rPr>
              <w:t xml:space="preserve"> del CNPC). </w:t>
            </w:r>
          </w:p>
          <w:p w:rsidR="008C3A50" w:rsidRPr="00220F0E" w:rsidRDefault="008C3A50" w:rsidP="0001350A">
            <w:pPr>
              <w:ind w:left="360"/>
              <w:jc w:val="both"/>
              <w:rPr>
                <w:rFonts w:ascii="Work Sans" w:hAnsi="Work Sans" w:cs="Arial"/>
                <w:sz w:val="22"/>
                <w:szCs w:val="22"/>
              </w:rPr>
            </w:pPr>
          </w:p>
        </w:tc>
      </w:tr>
      <w:tr w:rsidR="008C3A50" w:rsidRPr="00220F0E" w:rsidTr="0001350A">
        <w:tblPrEx>
          <w:tblCellMar>
            <w:top w:w="0" w:type="dxa"/>
            <w:bottom w:w="0" w:type="dxa"/>
          </w:tblCellMar>
        </w:tblPrEx>
        <w:trPr>
          <w:trHeight w:val="66"/>
        </w:trPr>
        <w:tc>
          <w:tcPr>
            <w:tcW w:w="10774" w:type="dxa"/>
            <w:gridSpan w:val="3"/>
            <w:tcBorders>
              <w:top w:val="single" w:sz="4" w:space="0" w:color="auto"/>
              <w:bottom w:val="single" w:sz="4" w:space="0" w:color="auto"/>
            </w:tcBorders>
            <w:shd w:val="clear" w:color="auto" w:fill="FFFFFF"/>
            <w:vAlign w:val="center"/>
          </w:tcPr>
          <w:p w:rsidR="008C3A50" w:rsidRPr="00220F0E" w:rsidRDefault="008C3A50" w:rsidP="0001350A">
            <w:pPr>
              <w:ind w:right="140"/>
              <w:jc w:val="both"/>
              <w:rPr>
                <w:rFonts w:ascii="Work Sans" w:hAnsi="Work Sans" w:cs="Arial"/>
                <w:sz w:val="22"/>
                <w:szCs w:val="22"/>
                <w:lang w:val="es-CO" w:eastAsia="es-CO"/>
              </w:rPr>
            </w:pPr>
          </w:p>
        </w:tc>
      </w:tr>
      <w:tr w:rsidR="008C3A50" w:rsidRPr="00220F0E" w:rsidTr="0001350A">
        <w:tblPrEx>
          <w:tblCellMar>
            <w:top w:w="0" w:type="dxa"/>
            <w:bottom w:w="0" w:type="dxa"/>
          </w:tblCellMar>
        </w:tblPrEx>
        <w:trPr>
          <w:trHeight w:val="416"/>
        </w:trPr>
        <w:tc>
          <w:tcPr>
            <w:tcW w:w="10774" w:type="dxa"/>
            <w:gridSpan w:val="3"/>
            <w:tcBorders>
              <w:top w:val="single" w:sz="4" w:space="0" w:color="auto"/>
              <w:bottom w:val="single" w:sz="4" w:space="0" w:color="auto"/>
            </w:tcBorders>
            <w:shd w:val="clear" w:color="auto" w:fill="5B8AFF"/>
            <w:vAlign w:val="center"/>
          </w:tcPr>
          <w:p w:rsidR="008C3A50" w:rsidRPr="00220F0E" w:rsidRDefault="008C3A50" w:rsidP="0001350A">
            <w:pPr>
              <w:jc w:val="center"/>
              <w:rPr>
                <w:rFonts w:ascii="Work Sans" w:hAnsi="Work Sans" w:cs="Arial"/>
                <w:color w:val="FFFFFF"/>
                <w:sz w:val="22"/>
                <w:szCs w:val="22"/>
              </w:rPr>
            </w:pPr>
            <w:r w:rsidRPr="00220F0E">
              <w:rPr>
                <w:rFonts w:ascii="Work Sans" w:hAnsi="Work Sans" w:cs="Arial"/>
                <w:b/>
                <w:color w:val="FFFFFF"/>
                <w:sz w:val="22"/>
                <w:szCs w:val="22"/>
              </w:rPr>
              <w:t>ANEXOS:</w:t>
            </w:r>
            <w:r w:rsidRPr="00220F0E">
              <w:rPr>
                <w:rFonts w:ascii="Work Sans" w:hAnsi="Work Sans" w:cs="Arial"/>
                <w:color w:val="FFFFFF"/>
                <w:sz w:val="22"/>
                <w:szCs w:val="22"/>
              </w:rPr>
              <w:t xml:space="preserve"> </w:t>
            </w:r>
          </w:p>
        </w:tc>
      </w:tr>
      <w:tr w:rsidR="008C3A50" w:rsidRPr="00220F0E" w:rsidTr="0001350A">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sz w:val="22"/>
                <w:szCs w:val="22"/>
              </w:rPr>
              <w:t xml:space="preserve">Certificación de cumplimiento de requisitos de consulta, publicidad y de incorporación en la agenda regulatoria </w:t>
            </w:r>
          </w:p>
          <w:p w:rsidR="008C3A50" w:rsidRPr="00220F0E" w:rsidRDefault="008C3A50" w:rsidP="0001350A">
            <w:pPr>
              <w:jc w:val="both"/>
              <w:rPr>
                <w:rFonts w:ascii="Work Sans" w:hAnsi="Work Sans" w:cs="Arial"/>
                <w:i/>
                <w:color w:val="808080"/>
                <w:sz w:val="22"/>
                <w:szCs w:val="22"/>
              </w:rPr>
            </w:pPr>
            <w:r w:rsidRPr="00220F0E">
              <w:rPr>
                <w:rFonts w:ascii="Work Sans" w:hAnsi="Work Sans"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jc w:val="both"/>
              <w:rPr>
                <w:rFonts w:ascii="Work Sans" w:hAnsi="Work Sans" w:cs="Arial"/>
                <w:color w:val="808080"/>
                <w:sz w:val="22"/>
                <w:szCs w:val="22"/>
              </w:rPr>
            </w:pPr>
            <w:r w:rsidRPr="00220F0E">
              <w:rPr>
                <w:rFonts w:ascii="Work Sans" w:hAnsi="Work Sans" w:cs="Arial"/>
                <w:color w:val="808080"/>
                <w:sz w:val="22"/>
                <w:szCs w:val="22"/>
              </w:rPr>
              <w:t>x</w:t>
            </w:r>
          </w:p>
        </w:tc>
      </w:tr>
      <w:tr w:rsidR="008C3A50" w:rsidRPr="00220F0E" w:rsidTr="0001350A">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sz w:val="22"/>
                <w:szCs w:val="22"/>
              </w:rPr>
              <w:t>Concepto(s) de Ministerio de Comercio, Industria y Turismo</w:t>
            </w:r>
          </w:p>
          <w:p w:rsidR="008C3A50" w:rsidRPr="00220F0E" w:rsidRDefault="008C3A50" w:rsidP="0001350A">
            <w:pPr>
              <w:jc w:val="both"/>
              <w:rPr>
                <w:rFonts w:ascii="Work Sans" w:hAnsi="Work Sans" w:cs="Arial"/>
                <w:i/>
                <w:color w:val="808080"/>
                <w:sz w:val="22"/>
                <w:szCs w:val="22"/>
              </w:rPr>
            </w:pPr>
            <w:r w:rsidRPr="00220F0E">
              <w:rPr>
                <w:rFonts w:ascii="Work Sans" w:hAnsi="Work Sans"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color w:val="808080"/>
                <w:sz w:val="22"/>
                <w:szCs w:val="22"/>
              </w:rPr>
              <w:t>N.A.</w:t>
            </w:r>
          </w:p>
        </w:tc>
      </w:tr>
      <w:tr w:rsidR="008C3A50" w:rsidRPr="00220F0E" w:rsidTr="0001350A">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sz w:val="22"/>
                <w:szCs w:val="22"/>
              </w:rPr>
              <w:t xml:space="preserve">Informe de observaciones y respuestas </w:t>
            </w:r>
          </w:p>
          <w:p w:rsidR="008C3A50" w:rsidRPr="00220F0E" w:rsidRDefault="008C3A50" w:rsidP="0001350A">
            <w:pPr>
              <w:jc w:val="both"/>
              <w:rPr>
                <w:rFonts w:ascii="Work Sans" w:hAnsi="Work Sans" w:cs="Arial"/>
                <w:i/>
                <w:color w:val="808080"/>
                <w:sz w:val="22"/>
                <w:szCs w:val="22"/>
              </w:rPr>
            </w:pPr>
            <w:r w:rsidRPr="00220F0E">
              <w:rPr>
                <w:rFonts w:ascii="Work Sans" w:hAnsi="Work Sans"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color w:val="808080"/>
                <w:sz w:val="22"/>
                <w:szCs w:val="22"/>
              </w:rPr>
              <w:t>x</w:t>
            </w:r>
          </w:p>
        </w:tc>
      </w:tr>
      <w:tr w:rsidR="008C3A50" w:rsidRPr="00220F0E" w:rsidTr="0001350A">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sz w:val="22"/>
                <w:szCs w:val="22"/>
              </w:rPr>
              <w:t>Concepto de Abogacía de la Competencia de la Superintendencia de Industria y Comercio</w:t>
            </w:r>
          </w:p>
          <w:p w:rsidR="008C3A50" w:rsidRPr="00220F0E" w:rsidRDefault="008C3A50" w:rsidP="0001350A">
            <w:pPr>
              <w:jc w:val="both"/>
              <w:rPr>
                <w:rFonts w:ascii="Work Sans" w:hAnsi="Work Sans" w:cs="Arial"/>
                <w:i/>
                <w:color w:val="808080"/>
                <w:sz w:val="22"/>
                <w:szCs w:val="22"/>
              </w:rPr>
            </w:pPr>
            <w:r w:rsidRPr="00220F0E">
              <w:rPr>
                <w:rFonts w:ascii="Work Sans" w:hAnsi="Work Sans"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color w:val="808080"/>
                <w:sz w:val="22"/>
                <w:szCs w:val="22"/>
              </w:rPr>
              <w:t>N.A</w:t>
            </w:r>
          </w:p>
        </w:tc>
      </w:tr>
      <w:tr w:rsidR="008C3A50" w:rsidRPr="00220F0E" w:rsidTr="0001350A">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sz w:val="22"/>
                <w:szCs w:val="22"/>
              </w:rPr>
              <w:t>Concepto de aprobación nuevos trámites del Departamento Administrativo de la Función Pública</w:t>
            </w:r>
          </w:p>
          <w:p w:rsidR="008C3A50" w:rsidRPr="00220F0E" w:rsidRDefault="008C3A50" w:rsidP="0001350A">
            <w:pPr>
              <w:jc w:val="both"/>
              <w:rPr>
                <w:rFonts w:ascii="Work Sans" w:hAnsi="Work Sans" w:cs="Arial"/>
                <w:sz w:val="22"/>
                <w:szCs w:val="22"/>
              </w:rPr>
            </w:pPr>
            <w:r w:rsidRPr="00220F0E">
              <w:rPr>
                <w:rFonts w:ascii="Work Sans" w:hAnsi="Work Sans"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color w:val="808080"/>
                <w:sz w:val="22"/>
                <w:szCs w:val="22"/>
              </w:rPr>
              <w:t>N.A</w:t>
            </w:r>
          </w:p>
        </w:tc>
      </w:tr>
      <w:tr w:rsidR="008C3A50" w:rsidRPr="00220F0E" w:rsidTr="0001350A">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sz w:val="22"/>
                <w:szCs w:val="22"/>
              </w:rPr>
              <w:t xml:space="preserve">Otro </w:t>
            </w:r>
          </w:p>
          <w:p w:rsidR="008C3A50" w:rsidRPr="00220F0E" w:rsidRDefault="008C3A50" w:rsidP="0001350A">
            <w:pPr>
              <w:jc w:val="both"/>
              <w:rPr>
                <w:rFonts w:ascii="Work Sans" w:hAnsi="Work Sans" w:cs="Arial"/>
                <w:sz w:val="22"/>
                <w:szCs w:val="22"/>
              </w:rPr>
            </w:pPr>
            <w:r w:rsidRPr="00220F0E">
              <w:rPr>
                <w:rFonts w:ascii="Work Sans" w:hAnsi="Work Sans"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rsidR="008C3A50" w:rsidRPr="00220F0E" w:rsidRDefault="008C3A50" w:rsidP="0001350A">
            <w:pPr>
              <w:jc w:val="both"/>
              <w:rPr>
                <w:rFonts w:ascii="Work Sans" w:hAnsi="Work Sans" w:cs="Arial"/>
                <w:sz w:val="22"/>
                <w:szCs w:val="22"/>
              </w:rPr>
            </w:pPr>
            <w:r w:rsidRPr="00220F0E">
              <w:rPr>
                <w:rFonts w:ascii="Work Sans" w:hAnsi="Work Sans" w:cs="Arial"/>
                <w:color w:val="808080"/>
                <w:sz w:val="22"/>
                <w:szCs w:val="22"/>
              </w:rPr>
              <w:t xml:space="preserve">No se visualizan otros aspectos. </w:t>
            </w:r>
          </w:p>
        </w:tc>
      </w:tr>
    </w:tbl>
    <w:p w:rsidR="008C3A50" w:rsidRPr="00220F0E" w:rsidRDefault="008C3A50" w:rsidP="008C3A50">
      <w:pPr>
        <w:ind w:right="-377"/>
        <w:jc w:val="both"/>
        <w:rPr>
          <w:rFonts w:ascii="Work Sans" w:hAnsi="Work Sans" w:cs="Arial"/>
          <w:sz w:val="22"/>
          <w:szCs w:val="22"/>
        </w:rPr>
      </w:pPr>
    </w:p>
    <w:p w:rsidR="008C3A50" w:rsidRPr="00220F0E" w:rsidRDefault="008C3A50" w:rsidP="008C3A50">
      <w:pPr>
        <w:ind w:left="-1276" w:right="-377" w:firstLine="283"/>
        <w:jc w:val="both"/>
        <w:rPr>
          <w:rFonts w:ascii="Work Sans" w:hAnsi="Work Sans" w:cs="Arial"/>
          <w:b/>
          <w:sz w:val="22"/>
          <w:szCs w:val="22"/>
        </w:rPr>
      </w:pPr>
      <w:r w:rsidRPr="00220F0E">
        <w:rPr>
          <w:rFonts w:ascii="Work Sans" w:hAnsi="Work Sans" w:cs="Arial"/>
          <w:b/>
          <w:sz w:val="22"/>
          <w:szCs w:val="22"/>
        </w:rPr>
        <w:t>Aprobó:</w:t>
      </w:r>
    </w:p>
    <w:p w:rsidR="008C3A50" w:rsidRPr="00220F0E" w:rsidRDefault="008C3A50" w:rsidP="008C3A50">
      <w:pPr>
        <w:ind w:left="-1276" w:right="-377" w:firstLine="283"/>
        <w:jc w:val="both"/>
        <w:rPr>
          <w:rFonts w:ascii="Work Sans" w:hAnsi="Work Sans" w:cs="Arial"/>
          <w:b/>
          <w:sz w:val="22"/>
          <w:szCs w:val="22"/>
        </w:rPr>
      </w:pPr>
    </w:p>
    <w:p w:rsidR="008C3A50" w:rsidRPr="00220F0E" w:rsidRDefault="008C3A50" w:rsidP="008C3A50">
      <w:pPr>
        <w:ind w:left="-1276" w:right="-377" w:firstLine="283"/>
        <w:jc w:val="both"/>
        <w:rPr>
          <w:rFonts w:ascii="Work Sans" w:hAnsi="Work Sans" w:cs="Arial"/>
          <w:b/>
          <w:sz w:val="22"/>
          <w:szCs w:val="22"/>
        </w:rPr>
      </w:pPr>
    </w:p>
    <w:p w:rsidR="008C3A50" w:rsidRPr="00220F0E" w:rsidRDefault="008C3A50" w:rsidP="008C3A50">
      <w:pPr>
        <w:ind w:left="-1276" w:right="-377" w:firstLine="283"/>
        <w:jc w:val="both"/>
        <w:rPr>
          <w:rFonts w:ascii="Work Sans" w:hAnsi="Work Sans" w:cs="Arial"/>
          <w:b/>
          <w:sz w:val="22"/>
          <w:szCs w:val="22"/>
        </w:rPr>
      </w:pPr>
    </w:p>
    <w:p w:rsidR="008C3A50" w:rsidRPr="00220F0E" w:rsidRDefault="008C3A50" w:rsidP="008C3A50">
      <w:pPr>
        <w:ind w:left="-1276" w:right="-377" w:firstLine="283"/>
        <w:jc w:val="both"/>
        <w:rPr>
          <w:rFonts w:ascii="Work Sans" w:hAnsi="Work Sans" w:cs="Arial"/>
          <w:b/>
          <w:sz w:val="22"/>
          <w:szCs w:val="22"/>
        </w:rPr>
      </w:pPr>
    </w:p>
    <w:p w:rsidR="008C3A50" w:rsidRPr="00220F0E" w:rsidRDefault="008C3A50" w:rsidP="008C3A50">
      <w:pPr>
        <w:ind w:left="-1276" w:right="-377" w:firstLine="283"/>
        <w:jc w:val="both"/>
        <w:rPr>
          <w:rFonts w:ascii="Work Sans" w:hAnsi="Work Sans" w:cs="Arial"/>
          <w:b/>
          <w:sz w:val="22"/>
          <w:szCs w:val="22"/>
        </w:rPr>
      </w:pPr>
    </w:p>
    <w:p w:rsidR="008C3A50" w:rsidRPr="00220F0E" w:rsidRDefault="008C3A50" w:rsidP="008C3A50">
      <w:pPr>
        <w:ind w:left="-851" w:right="-801"/>
        <w:jc w:val="both"/>
        <w:rPr>
          <w:rFonts w:ascii="Work Sans" w:hAnsi="Work Sans" w:cs="Calibri Light"/>
          <w:b/>
          <w:sz w:val="22"/>
          <w:szCs w:val="22"/>
        </w:rPr>
      </w:pPr>
      <w:r w:rsidRPr="00220F0E">
        <w:rPr>
          <w:rFonts w:ascii="Work Sans" w:hAnsi="Work Sans" w:cs="Calibri"/>
          <w:b/>
          <w:bCs/>
          <w:snapToGrid w:val="0"/>
          <w:color w:val="000000"/>
          <w:sz w:val="22"/>
          <w:szCs w:val="22"/>
        </w:rPr>
        <w:t xml:space="preserve"> </w:t>
      </w:r>
    </w:p>
    <w:p w:rsidR="008C3A50" w:rsidRPr="00220F0E" w:rsidRDefault="008C3A50" w:rsidP="008C3A50">
      <w:pPr>
        <w:ind w:left="-851" w:right="-801"/>
        <w:jc w:val="both"/>
        <w:rPr>
          <w:rFonts w:ascii="Work Sans" w:hAnsi="Work Sans" w:cs="Arial"/>
          <w:b/>
          <w:bCs/>
          <w:sz w:val="22"/>
          <w:szCs w:val="22"/>
        </w:rPr>
      </w:pPr>
      <w:r w:rsidRPr="00220F0E">
        <w:rPr>
          <w:rFonts w:ascii="Work Sans" w:hAnsi="Work Sans" w:cs="Arial"/>
          <w:b/>
          <w:bCs/>
          <w:sz w:val="22"/>
          <w:szCs w:val="22"/>
        </w:rPr>
        <w:t xml:space="preserve">ALBERTO ESCOVAR WILSON WHITE </w:t>
      </w:r>
      <w:r w:rsidRPr="00220F0E">
        <w:rPr>
          <w:rFonts w:ascii="Work Sans" w:hAnsi="Work Sans" w:cs="Arial"/>
          <w:b/>
          <w:bCs/>
          <w:sz w:val="22"/>
          <w:szCs w:val="22"/>
        </w:rPr>
        <w:tab/>
      </w:r>
      <w:r w:rsidRPr="00220F0E">
        <w:rPr>
          <w:rFonts w:ascii="Work Sans" w:hAnsi="Work Sans" w:cs="Arial"/>
          <w:b/>
          <w:bCs/>
          <w:sz w:val="22"/>
          <w:szCs w:val="22"/>
        </w:rPr>
        <w:tab/>
      </w:r>
      <w:r w:rsidRPr="00220F0E">
        <w:rPr>
          <w:rFonts w:ascii="Work Sans" w:hAnsi="Work Sans" w:cs="Arial"/>
          <w:b/>
          <w:bCs/>
          <w:sz w:val="22"/>
          <w:szCs w:val="22"/>
        </w:rPr>
        <w:tab/>
      </w:r>
      <w:r w:rsidRPr="00220F0E">
        <w:rPr>
          <w:rFonts w:ascii="Work Sans" w:hAnsi="Work Sans" w:cs="Arial"/>
          <w:b/>
          <w:bCs/>
          <w:sz w:val="22"/>
          <w:szCs w:val="22"/>
        </w:rPr>
        <w:tab/>
        <w:t xml:space="preserve">WALTER ASPRILLA CÁCERES  </w:t>
      </w:r>
    </w:p>
    <w:p w:rsidR="008C3A50" w:rsidRPr="00220F0E" w:rsidRDefault="008C3A50" w:rsidP="008C3A50">
      <w:pPr>
        <w:ind w:left="-851" w:right="-801"/>
        <w:jc w:val="both"/>
        <w:rPr>
          <w:rFonts w:ascii="Work Sans" w:hAnsi="Work Sans" w:cs="Arial"/>
          <w:sz w:val="22"/>
          <w:szCs w:val="22"/>
        </w:rPr>
      </w:pPr>
      <w:r w:rsidRPr="00220F0E">
        <w:rPr>
          <w:rFonts w:ascii="Work Sans" w:hAnsi="Work Sans" w:cs="Arial"/>
          <w:sz w:val="22"/>
          <w:szCs w:val="22"/>
        </w:rPr>
        <w:t xml:space="preserve">Director de Patrimonio y Memoria. </w:t>
      </w:r>
      <w:r w:rsidRPr="00220F0E">
        <w:rPr>
          <w:rFonts w:ascii="Work Sans" w:hAnsi="Work Sans" w:cs="Arial"/>
          <w:sz w:val="22"/>
          <w:szCs w:val="22"/>
        </w:rPr>
        <w:tab/>
      </w:r>
      <w:r w:rsidRPr="00220F0E">
        <w:rPr>
          <w:rFonts w:ascii="Work Sans" w:hAnsi="Work Sans" w:cs="Arial"/>
          <w:sz w:val="22"/>
          <w:szCs w:val="22"/>
        </w:rPr>
        <w:tab/>
      </w:r>
      <w:r w:rsidRPr="00220F0E">
        <w:rPr>
          <w:rFonts w:ascii="Work Sans" w:hAnsi="Work Sans" w:cs="Arial"/>
          <w:sz w:val="22"/>
          <w:szCs w:val="22"/>
        </w:rPr>
        <w:tab/>
      </w:r>
      <w:r w:rsidRPr="00220F0E">
        <w:rPr>
          <w:rFonts w:ascii="Work Sans" w:hAnsi="Work Sans" w:cs="Arial"/>
          <w:sz w:val="22"/>
          <w:szCs w:val="22"/>
        </w:rPr>
        <w:tab/>
        <w:t>Jefe Oficina Asesora Jurídica.</w:t>
      </w:r>
    </w:p>
    <w:p w:rsidR="008C3A50" w:rsidRPr="00220F0E" w:rsidRDefault="008C3A50" w:rsidP="008C3A50">
      <w:pPr>
        <w:ind w:left="-851"/>
        <w:jc w:val="both"/>
        <w:rPr>
          <w:rFonts w:ascii="Work Sans" w:hAnsi="Work Sans" w:cs="Arial"/>
          <w:sz w:val="22"/>
          <w:szCs w:val="22"/>
        </w:rPr>
      </w:pPr>
    </w:p>
    <w:p w:rsidR="008C3A50" w:rsidRPr="00220F0E" w:rsidRDefault="008C3A50" w:rsidP="008C3A50">
      <w:pPr>
        <w:ind w:hanging="851"/>
        <w:jc w:val="both"/>
        <w:rPr>
          <w:rFonts w:ascii="Work Sans" w:hAnsi="Work Sans" w:cs="Arial"/>
          <w:sz w:val="16"/>
          <w:szCs w:val="16"/>
        </w:rPr>
      </w:pPr>
      <w:r w:rsidRPr="00220F0E">
        <w:rPr>
          <w:rFonts w:ascii="Work Sans" w:hAnsi="Work Sans" w:cs="Arial"/>
          <w:sz w:val="16"/>
          <w:szCs w:val="16"/>
        </w:rPr>
        <w:t>Revisó:</w:t>
      </w:r>
      <w:r w:rsidRPr="00220F0E">
        <w:rPr>
          <w:rFonts w:ascii="Work Sans" w:hAnsi="Work Sans" w:cs="Arial"/>
          <w:sz w:val="16"/>
          <w:szCs w:val="16"/>
        </w:rPr>
        <w:tab/>
        <w:t xml:space="preserve">Mauricio Herrera B., Coordinador Grupo de Asesoría Legal, Conceptos y Derechos de Petición/ </w:t>
      </w:r>
      <w:r w:rsidR="00220F0E" w:rsidRPr="00220F0E">
        <w:rPr>
          <w:rFonts w:ascii="Work Sans" w:hAnsi="Work Sans" w:cs="Arial"/>
          <w:sz w:val="16"/>
          <w:szCs w:val="16"/>
        </w:rPr>
        <w:t>Ángela R. Cely H., Contratista Arquitecta en la Dirección de Patrimonio y Memoria</w:t>
      </w:r>
    </w:p>
    <w:p w:rsidR="008C3A50" w:rsidRPr="00220F0E" w:rsidRDefault="008C3A50" w:rsidP="008C3A50">
      <w:pPr>
        <w:ind w:left="-1276" w:right="-377" w:firstLine="283"/>
        <w:jc w:val="both"/>
        <w:rPr>
          <w:rFonts w:ascii="Work Sans" w:hAnsi="Work Sans" w:cs="Arial"/>
          <w:sz w:val="22"/>
          <w:szCs w:val="22"/>
        </w:rPr>
      </w:pPr>
    </w:p>
    <w:p w:rsidR="008C3A50" w:rsidRPr="00220F0E" w:rsidRDefault="008C3A50" w:rsidP="008C3A50">
      <w:pPr>
        <w:ind w:left="-1276" w:right="-377" w:firstLine="283"/>
        <w:jc w:val="both"/>
        <w:rPr>
          <w:rFonts w:ascii="Work Sans" w:hAnsi="Work Sans" w:cs="Arial"/>
          <w:sz w:val="22"/>
          <w:szCs w:val="22"/>
        </w:rPr>
      </w:pPr>
    </w:p>
    <w:p w:rsidR="008C3A50" w:rsidRPr="00220F0E" w:rsidRDefault="008C3A50" w:rsidP="008C3A50">
      <w:pPr>
        <w:ind w:right="23"/>
        <w:jc w:val="center"/>
        <w:rPr>
          <w:rFonts w:ascii="Work Sans" w:hAnsi="Work Sans" w:cs="Arial"/>
          <w:sz w:val="22"/>
          <w:szCs w:val="22"/>
        </w:rPr>
      </w:pPr>
    </w:p>
    <w:p w:rsidR="008C3A50" w:rsidRPr="00220F0E" w:rsidRDefault="008C3A50" w:rsidP="008C3A50">
      <w:pPr>
        <w:ind w:right="-377"/>
        <w:jc w:val="both"/>
        <w:rPr>
          <w:rFonts w:ascii="Work Sans" w:hAnsi="Work Sans" w:cs="Arial"/>
          <w:b/>
          <w:sz w:val="22"/>
          <w:szCs w:val="22"/>
        </w:rPr>
      </w:pPr>
    </w:p>
    <w:p w:rsidR="00D5287E" w:rsidRPr="00220F0E" w:rsidRDefault="00D5287E">
      <w:pPr>
        <w:rPr>
          <w:rFonts w:ascii="Work Sans" w:hAnsi="Work Sans"/>
          <w:sz w:val="22"/>
          <w:szCs w:val="22"/>
        </w:rPr>
      </w:pPr>
    </w:p>
    <w:sectPr w:rsidR="00D5287E" w:rsidRPr="00220F0E" w:rsidSect="008C3A50">
      <w:headerReference w:type="default" r:id="rId5"/>
      <w:footerReference w:type="default" r:id="rId6"/>
      <w:headerReference w:type="first" r:id="rId7"/>
      <w:pgSz w:w="12240" w:h="15840" w:code="1"/>
      <w:pgMar w:top="1616" w:right="1701" w:bottom="1115"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Work Sans">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6A" w:rsidRDefault="00220F0E">
    <w:pPr>
      <w:pStyle w:val="Piedepgina"/>
      <w:jc w:val="right"/>
    </w:pPr>
    <w:r>
      <w:fldChar w:fldCharType="begin"/>
    </w:r>
    <w:r>
      <w:instrText>PAGE</w:instrText>
    </w:r>
    <w:r>
      <w:instrText xml:space="preserve">   \* MERGEFORMAT</w:instrText>
    </w:r>
    <w:r>
      <w:fldChar w:fldCharType="separate"/>
    </w:r>
    <w:r>
      <w:rPr>
        <w:noProof/>
      </w:rPr>
      <w:t>5</w:t>
    </w:r>
    <w:r>
      <w:fldChar w:fldCharType="end"/>
    </w:r>
  </w:p>
  <w:p w:rsidR="00F07A7D" w:rsidRPr="0084294E" w:rsidRDefault="00220F0E" w:rsidP="00FA4A9E">
    <w:pPr>
      <w:pStyle w:val="Piedepgina"/>
      <w:jc w:val="center"/>
      <w:rPr>
        <w:sz w:val="18"/>
        <w:szCs w:val="18"/>
        <w:lang w:val="es-C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7D" w:rsidRDefault="00220F0E">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696582" w:rsidTr="001447C1">
      <w:tc>
        <w:tcPr>
          <w:tcW w:w="4253" w:type="dxa"/>
          <w:shd w:val="clear" w:color="auto" w:fill="auto"/>
        </w:tcPr>
        <w:p w:rsidR="00696582" w:rsidRDefault="008C3A50" w:rsidP="001447C1">
          <w:pPr>
            <w:pStyle w:val="Encabezado"/>
          </w:pPr>
          <w:r w:rsidRPr="00D965B1">
            <w:rPr>
              <w:noProof/>
              <w:lang w:val="es-CO" w:eastAsia="es-CO"/>
            </w:rPr>
            <w:drawing>
              <wp:inline distT="0" distB="0" distL="0" distR="0">
                <wp:extent cx="2562225" cy="542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p>
      </w:tc>
      <w:tc>
        <w:tcPr>
          <w:tcW w:w="6545" w:type="dxa"/>
          <w:shd w:val="clear" w:color="auto" w:fill="auto"/>
          <w:vAlign w:val="center"/>
        </w:tcPr>
        <w:p w:rsidR="00696582" w:rsidRDefault="00220F0E" w:rsidP="001447C1">
          <w:pPr>
            <w:pStyle w:val="Ttulo2"/>
            <w:ind w:left="72" w:right="72"/>
          </w:pPr>
          <w:r w:rsidRPr="00FD3D04">
            <w:rPr>
              <w:rFonts w:cs="Arial"/>
              <w:bCs/>
              <w:color w:val="000000"/>
              <w:sz w:val="24"/>
              <w:szCs w:val="24"/>
            </w:rPr>
            <w:t>FORMATO MEMORIA JUSTIFICATIVA</w:t>
          </w:r>
        </w:p>
      </w:tc>
    </w:tr>
  </w:tbl>
  <w:p w:rsidR="00F07A7D" w:rsidRDefault="00220F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350767" w:rsidTr="00FD3D04">
      <w:tc>
        <w:tcPr>
          <w:tcW w:w="4253" w:type="dxa"/>
          <w:shd w:val="clear" w:color="auto" w:fill="auto"/>
        </w:tcPr>
        <w:p w:rsidR="00350767" w:rsidRDefault="008C3A50">
          <w:pPr>
            <w:pStyle w:val="Encabezado"/>
          </w:pPr>
          <w:r w:rsidRPr="00D965B1">
            <w:rPr>
              <w:noProof/>
              <w:lang w:val="es-CO" w:eastAsia="es-CO"/>
            </w:rPr>
            <w:drawing>
              <wp:inline distT="0" distB="0" distL="0" distR="0">
                <wp:extent cx="2562225" cy="542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p>
      </w:tc>
      <w:tc>
        <w:tcPr>
          <w:tcW w:w="6545" w:type="dxa"/>
          <w:shd w:val="clear" w:color="auto" w:fill="auto"/>
          <w:vAlign w:val="center"/>
        </w:tcPr>
        <w:p w:rsidR="00350767" w:rsidRDefault="00220F0E" w:rsidP="00FD3D04">
          <w:pPr>
            <w:pStyle w:val="Ttulo2"/>
            <w:ind w:left="72" w:right="72"/>
          </w:pPr>
          <w:r w:rsidRPr="00FD3D04">
            <w:rPr>
              <w:rFonts w:cs="Arial"/>
              <w:bCs/>
              <w:color w:val="000000"/>
              <w:sz w:val="24"/>
              <w:szCs w:val="24"/>
            </w:rPr>
            <w:t>FORMATO MEMORIA JUSTIFICATIVA</w:t>
          </w:r>
        </w:p>
      </w:tc>
    </w:tr>
  </w:tbl>
  <w:p w:rsidR="00350767" w:rsidRDefault="00220F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295"/>
    <w:multiLevelType w:val="hybridMultilevel"/>
    <w:tmpl w:val="FE98BE24"/>
    <w:lvl w:ilvl="0" w:tplc="080A0001">
      <w:start w:val="1"/>
      <w:numFmt w:val="bullet"/>
      <w:lvlText w:val=""/>
      <w:lvlJc w:val="left"/>
      <w:pPr>
        <w:ind w:left="858" w:hanging="360"/>
      </w:pPr>
      <w:rPr>
        <w:rFonts w:ascii="Symbol" w:hAnsi="Symbol" w:hint="default"/>
      </w:rPr>
    </w:lvl>
    <w:lvl w:ilvl="1" w:tplc="080A0003" w:tentative="1">
      <w:start w:val="1"/>
      <w:numFmt w:val="bullet"/>
      <w:lvlText w:val="o"/>
      <w:lvlJc w:val="left"/>
      <w:pPr>
        <w:ind w:left="1578" w:hanging="360"/>
      </w:pPr>
      <w:rPr>
        <w:rFonts w:ascii="Courier New" w:hAnsi="Courier New" w:cs="Courier New" w:hint="default"/>
      </w:rPr>
    </w:lvl>
    <w:lvl w:ilvl="2" w:tplc="080A0005" w:tentative="1">
      <w:start w:val="1"/>
      <w:numFmt w:val="bullet"/>
      <w:lvlText w:val=""/>
      <w:lvlJc w:val="left"/>
      <w:pPr>
        <w:ind w:left="2298" w:hanging="360"/>
      </w:pPr>
      <w:rPr>
        <w:rFonts w:ascii="Wingdings" w:hAnsi="Wingdings" w:hint="default"/>
      </w:rPr>
    </w:lvl>
    <w:lvl w:ilvl="3" w:tplc="080A0001" w:tentative="1">
      <w:start w:val="1"/>
      <w:numFmt w:val="bullet"/>
      <w:lvlText w:val=""/>
      <w:lvlJc w:val="left"/>
      <w:pPr>
        <w:ind w:left="3018" w:hanging="360"/>
      </w:pPr>
      <w:rPr>
        <w:rFonts w:ascii="Symbol" w:hAnsi="Symbol" w:hint="default"/>
      </w:rPr>
    </w:lvl>
    <w:lvl w:ilvl="4" w:tplc="080A0003" w:tentative="1">
      <w:start w:val="1"/>
      <w:numFmt w:val="bullet"/>
      <w:lvlText w:val="o"/>
      <w:lvlJc w:val="left"/>
      <w:pPr>
        <w:ind w:left="3738" w:hanging="360"/>
      </w:pPr>
      <w:rPr>
        <w:rFonts w:ascii="Courier New" w:hAnsi="Courier New" w:cs="Courier New" w:hint="default"/>
      </w:rPr>
    </w:lvl>
    <w:lvl w:ilvl="5" w:tplc="080A0005" w:tentative="1">
      <w:start w:val="1"/>
      <w:numFmt w:val="bullet"/>
      <w:lvlText w:val=""/>
      <w:lvlJc w:val="left"/>
      <w:pPr>
        <w:ind w:left="4458" w:hanging="360"/>
      </w:pPr>
      <w:rPr>
        <w:rFonts w:ascii="Wingdings" w:hAnsi="Wingdings" w:hint="default"/>
      </w:rPr>
    </w:lvl>
    <w:lvl w:ilvl="6" w:tplc="080A0001" w:tentative="1">
      <w:start w:val="1"/>
      <w:numFmt w:val="bullet"/>
      <w:lvlText w:val=""/>
      <w:lvlJc w:val="left"/>
      <w:pPr>
        <w:ind w:left="5178" w:hanging="360"/>
      </w:pPr>
      <w:rPr>
        <w:rFonts w:ascii="Symbol" w:hAnsi="Symbol" w:hint="default"/>
      </w:rPr>
    </w:lvl>
    <w:lvl w:ilvl="7" w:tplc="080A0003" w:tentative="1">
      <w:start w:val="1"/>
      <w:numFmt w:val="bullet"/>
      <w:lvlText w:val="o"/>
      <w:lvlJc w:val="left"/>
      <w:pPr>
        <w:ind w:left="5898" w:hanging="360"/>
      </w:pPr>
      <w:rPr>
        <w:rFonts w:ascii="Courier New" w:hAnsi="Courier New" w:cs="Courier New" w:hint="default"/>
      </w:rPr>
    </w:lvl>
    <w:lvl w:ilvl="8" w:tplc="080A0005" w:tentative="1">
      <w:start w:val="1"/>
      <w:numFmt w:val="bullet"/>
      <w:lvlText w:val=""/>
      <w:lvlJc w:val="left"/>
      <w:pPr>
        <w:ind w:left="6618" w:hanging="360"/>
      </w:pPr>
      <w:rPr>
        <w:rFonts w:ascii="Wingdings" w:hAnsi="Wingdings" w:hint="default"/>
      </w:rPr>
    </w:lvl>
  </w:abstractNum>
  <w:abstractNum w:abstractNumId="1">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F366FC2"/>
    <w:multiLevelType w:val="hybridMultilevel"/>
    <w:tmpl w:val="727207F0"/>
    <w:lvl w:ilvl="0" w:tplc="040A0001">
      <w:start w:val="1"/>
      <w:numFmt w:val="bullet"/>
      <w:lvlText w:val=""/>
      <w:lvlJc w:val="left"/>
      <w:pPr>
        <w:ind w:left="1088" w:hanging="360"/>
      </w:pPr>
      <w:rPr>
        <w:rFonts w:ascii="Symbol" w:hAnsi="Symbol" w:hint="default"/>
      </w:rPr>
    </w:lvl>
    <w:lvl w:ilvl="1" w:tplc="040A0003" w:tentative="1">
      <w:start w:val="1"/>
      <w:numFmt w:val="bullet"/>
      <w:lvlText w:val="o"/>
      <w:lvlJc w:val="left"/>
      <w:pPr>
        <w:ind w:left="1808" w:hanging="360"/>
      </w:pPr>
      <w:rPr>
        <w:rFonts w:ascii="Courier New" w:hAnsi="Courier New" w:cs="Courier New" w:hint="default"/>
      </w:rPr>
    </w:lvl>
    <w:lvl w:ilvl="2" w:tplc="040A0005" w:tentative="1">
      <w:start w:val="1"/>
      <w:numFmt w:val="bullet"/>
      <w:lvlText w:val=""/>
      <w:lvlJc w:val="left"/>
      <w:pPr>
        <w:ind w:left="2528" w:hanging="360"/>
      </w:pPr>
      <w:rPr>
        <w:rFonts w:ascii="Wingdings" w:hAnsi="Wingdings" w:hint="default"/>
      </w:rPr>
    </w:lvl>
    <w:lvl w:ilvl="3" w:tplc="040A0001" w:tentative="1">
      <w:start w:val="1"/>
      <w:numFmt w:val="bullet"/>
      <w:lvlText w:val=""/>
      <w:lvlJc w:val="left"/>
      <w:pPr>
        <w:ind w:left="3248" w:hanging="360"/>
      </w:pPr>
      <w:rPr>
        <w:rFonts w:ascii="Symbol" w:hAnsi="Symbol" w:hint="default"/>
      </w:rPr>
    </w:lvl>
    <w:lvl w:ilvl="4" w:tplc="040A0003" w:tentative="1">
      <w:start w:val="1"/>
      <w:numFmt w:val="bullet"/>
      <w:lvlText w:val="o"/>
      <w:lvlJc w:val="left"/>
      <w:pPr>
        <w:ind w:left="3968" w:hanging="360"/>
      </w:pPr>
      <w:rPr>
        <w:rFonts w:ascii="Courier New" w:hAnsi="Courier New" w:cs="Courier New" w:hint="default"/>
      </w:rPr>
    </w:lvl>
    <w:lvl w:ilvl="5" w:tplc="040A0005" w:tentative="1">
      <w:start w:val="1"/>
      <w:numFmt w:val="bullet"/>
      <w:lvlText w:val=""/>
      <w:lvlJc w:val="left"/>
      <w:pPr>
        <w:ind w:left="4688" w:hanging="360"/>
      </w:pPr>
      <w:rPr>
        <w:rFonts w:ascii="Wingdings" w:hAnsi="Wingdings" w:hint="default"/>
      </w:rPr>
    </w:lvl>
    <w:lvl w:ilvl="6" w:tplc="040A0001" w:tentative="1">
      <w:start w:val="1"/>
      <w:numFmt w:val="bullet"/>
      <w:lvlText w:val=""/>
      <w:lvlJc w:val="left"/>
      <w:pPr>
        <w:ind w:left="5408" w:hanging="360"/>
      </w:pPr>
      <w:rPr>
        <w:rFonts w:ascii="Symbol" w:hAnsi="Symbol" w:hint="default"/>
      </w:rPr>
    </w:lvl>
    <w:lvl w:ilvl="7" w:tplc="040A0003" w:tentative="1">
      <w:start w:val="1"/>
      <w:numFmt w:val="bullet"/>
      <w:lvlText w:val="o"/>
      <w:lvlJc w:val="left"/>
      <w:pPr>
        <w:ind w:left="6128" w:hanging="360"/>
      </w:pPr>
      <w:rPr>
        <w:rFonts w:ascii="Courier New" w:hAnsi="Courier New" w:cs="Courier New" w:hint="default"/>
      </w:rPr>
    </w:lvl>
    <w:lvl w:ilvl="8" w:tplc="040A0005" w:tentative="1">
      <w:start w:val="1"/>
      <w:numFmt w:val="bullet"/>
      <w:lvlText w:val=""/>
      <w:lvlJc w:val="left"/>
      <w:pPr>
        <w:ind w:left="6848" w:hanging="360"/>
      </w:pPr>
      <w:rPr>
        <w:rFonts w:ascii="Wingdings" w:hAnsi="Wingdings" w:hint="default"/>
      </w:rPr>
    </w:lvl>
  </w:abstractNum>
  <w:abstractNum w:abstractNumId="3">
    <w:nsid w:val="38C633E2"/>
    <w:multiLevelType w:val="hybridMultilevel"/>
    <w:tmpl w:val="A26A27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2CB1B8A"/>
    <w:multiLevelType w:val="multilevel"/>
    <w:tmpl w:val="52F610EC"/>
    <w:lvl w:ilvl="0">
      <w:start w:val="3"/>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564" w:hanging="72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346" w:hanging="108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5">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50"/>
    <w:rsid w:val="000C6499"/>
    <w:rsid w:val="00220F0E"/>
    <w:rsid w:val="002A7370"/>
    <w:rsid w:val="00681CE3"/>
    <w:rsid w:val="008C3A50"/>
    <w:rsid w:val="00D5287E"/>
    <w:rsid w:val="00D716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B99AE-7B0E-48EC-B30E-2DCA2F27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50"/>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8C3A50"/>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C3A50"/>
    <w:rPr>
      <w:rFonts w:ascii="Arial" w:eastAsia="Times New Roman" w:hAnsi="Arial" w:cs="Times New Roman"/>
      <w:b/>
      <w:sz w:val="20"/>
      <w:szCs w:val="20"/>
      <w:lang w:val="es-ES" w:eastAsia="es-ES"/>
    </w:rPr>
  </w:style>
  <w:style w:type="paragraph" w:styleId="Encabezado">
    <w:name w:val="header"/>
    <w:basedOn w:val="Normal"/>
    <w:link w:val="EncabezadoCar"/>
    <w:rsid w:val="008C3A50"/>
    <w:pPr>
      <w:tabs>
        <w:tab w:val="center" w:pos="4252"/>
        <w:tab w:val="right" w:pos="8504"/>
      </w:tabs>
    </w:pPr>
  </w:style>
  <w:style w:type="character" w:customStyle="1" w:styleId="EncabezadoCar">
    <w:name w:val="Encabezado Car"/>
    <w:basedOn w:val="Fuentedeprrafopredeter"/>
    <w:link w:val="Encabezado"/>
    <w:rsid w:val="008C3A50"/>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8C3A50"/>
    <w:pPr>
      <w:tabs>
        <w:tab w:val="center" w:pos="4252"/>
        <w:tab w:val="right" w:pos="8504"/>
      </w:tabs>
    </w:pPr>
  </w:style>
  <w:style w:type="character" w:customStyle="1" w:styleId="PiedepginaCar">
    <w:name w:val="Pie de página Car"/>
    <w:basedOn w:val="Fuentedeprrafopredeter"/>
    <w:link w:val="Piedepgina"/>
    <w:uiPriority w:val="99"/>
    <w:rsid w:val="008C3A50"/>
    <w:rPr>
      <w:rFonts w:ascii="Arial" w:eastAsia="Times New Roman" w:hAnsi="Arial" w:cs="Times New Roman"/>
      <w:sz w:val="20"/>
      <w:szCs w:val="20"/>
      <w:lang w:val="es-ES" w:eastAsia="es-ES"/>
    </w:rPr>
  </w:style>
  <w:style w:type="paragraph" w:customStyle="1" w:styleId="Default">
    <w:name w:val="Default"/>
    <w:rsid w:val="008C3A50"/>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Listavistosa-nfasis1Car">
    <w:name w:val="Lista vistosa - Énfasis 1 Car"/>
    <w:aliases w:val="Normal. Viñetas Car,Lista vistosa - Énfasis 11 Car"/>
    <w:link w:val="Listavistosa-nfasis1"/>
    <w:uiPriority w:val="34"/>
    <w:locked/>
    <w:rsid w:val="008C3A50"/>
    <w:rPr>
      <w:rFonts w:ascii="Calibri" w:hAnsi="Calibri"/>
      <w:sz w:val="22"/>
      <w:szCs w:val="22"/>
    </w:rPr>
  </w:style>
  <w:style w:type="paragraph" w:styleId="Sangra2detindependiente">
    <w:name w:val="Body Text Indent 2"/>
    <w:basedOn w:val="Normal"/>
    <w:link w:val="Sangra2detindependienteCar"/>
    <w:rsid w:val="008C3A50"/>
    <w:pPr>
      <w:spacing w:after="120" w:line="480" w:lineRule="auto"/>
      <w:ind w:left="283"/>
    </w:pPr>
  </w:style>
  <w:style w:type="character" w:customStyle="1" w:styleId="Sangra2detindependienteCar">
    <w:name w:val="Sangría 2 de t. independiente Car"/>
    <w:basedOn w:val="Fuentedeprrafopredeter"/>
    <w:link w:val="Sangra2detindependiente"/>
    <w:rsid w:val="008C3A50"/>
    <w:rPr>
      <w:rFonts w:ascii="Arial" w:eastAsia="Times New Roman" w:hAnsi="Arial" w:cs="Times New Roman"/>
      <w:sz w:val="20"/>
      <w:szCs w:val="20"/>
      <w:lang w:val="es-ES" w:eastAsia="es-ES"/>
    </w:rPr>
  </w:style>
  <w:style w:type="paragraph" w:styleId="Sinespaciado">
    <w:name w:val="No Spacing"/>
    <w:link w:val="SinespaciadoCar"/>
    <w:uiPriority w:val="1"/>
    <w:qFormat/>
    <w:rsid w:val="008C3A50"/>
    <w:pPr>
      <w:spacing w:after="0" w:line="240" w:lineRule="auto"/>
    </w:pPr>
    <w:rPr>
      <w:rFonts w:ascii="Calibri" w:eastAsia="Times New Roman" w:hAnsi="Calibri" w:cs="Times New Roman"/>
      <w:sz w:val="24"/>
      <w:szCs w:val="24"/>
      <w:lang w:val="es-ES_tradnl" w:eastAsia="es-ES"/>
    </w:rPr>
  </w:style>
  <w:style w:type="character" w:customStyle="1" w:styleId="SinespaciadoCar">
    <w:name w:val="Sin espaciado Car"/>
    <w:link w:val="Sinespaciado"/>
    <w:uiPriority w:val="1"/>
    <w:rsid w:val="008C3A50"/>
    <w:rPr>
      <w:rFonts w:ascii="Calibri" w:eastAsia="Times New Roman" w:hAnsi="Calibri" w:cs="Times New Roman"/>
      <w:sz w:val="24"/>
      <w:szCs w:val="24"/>
      <w:lang w:val="es-ES_tradnl" w:eastAsia="es-ES"/>
    </w:rPr>
  </w:style>
  <w:style w:type="table" w:styleId="Listavistosa-nfasis1">
    <w:name w:val="Colorful List Accent 1"/>
    <w:basedOn w:val="Tablanormal"/>
    <w:link w:val="Listavistosa-nfasis1Car"/>
    <w:uiPriority w:val="34"/>
    <w:semiHidden/>
    <w:unhideWhenUsed/>
    <w:rsid w:val="008C3A50"/>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2">
    <w:name w:val="Body Text 2"/>
    <w:basedOn w:val="Normal"/>
    <w:link w:val="Textoindependiente2Car"/>
    <w:uiPriority w:val="99"/>
    <w:unhideWhenUsed/>
    <w:rsid w:val="00220F0E"/>
    <w:pPr>
      <w:spacing w:after="120" w:line="480" w:lineRule="auto"/>
    </w:pPr>
    <w:rPr>
      <w:rFonts w:ascii="Arial Narrow" w:eastAsia="MS Mincho" w:hAnsi="Arial Narrow"/>
      <w:sz w:val="24"/>
      <w:szCs w:val="24"/>
    </w:rPr>
  </w:style>
  <w:style w:type="character" w:customStyle="1" w:styleId="Textoindependiente2Car">
    <w:name w:val="Texto independiente 2 Car"/>
    <w:basedOn w:val="Fuentedeprrafopredeter"/>
    <w:link w:val="Textoindependiente2"/>
    <w:uiPriority w:val="99"/>
    <w:rsid w:val="00220F0E"/>
    <w:rPr>
      <w:rFonts w:ascii="Arial Narrow" w:eastAsia="MS Mincho"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H7EN5MXTHQNV-429570507-3191</_dlc_DocId>
    <_dlc_DocIdUrl xmlns="ae9388c0-b1e2-40ea-b6a8-c51c7913cbd2">
      <Url>https://mng.mincultura.gov.co/ministerio/transparencia-y-acceso-a-informacion-publica/publicidad%20de%20proyectos%20de%20especificos%20de%20regulacion/_layouts/15/DocIdRedir.aspx?ID=H7EN5MXTHQNV-429570507-3191</Url>
      <Description>H7EN5MXTHQNV-429570507-3191</Description>
    </_dlc_DocIdUrl>
  </documentManagement>
</p:properties>
</file>

<file path=customXml/itemProps1.xml><?xml version="1.0" encoding="utf-8"?>
<ds:datastoreItem xmlns:ds="http://schemas.openxmlformats.org/officeDocument/2006/customXml" ds:itemID="{6E96A4A2-C52A-49C2-A89D-3C488A0AD43F}"/>
</file>

<file path=customXml/itemProps2.xml><?xml version="1.0" encoding="utf-8"?>
<ds:datastoreItem xmlns:ds="http://schemas.openxmlformats.org/officeDocument/2006/customXml" ds:itemID="{0B29DE3C-5DC2-4D36-B938-F44352C46444}"/>
</file>

<file path=customXml/itemProps3.xml><?xml version="1.0" encoding="utf-8"?>
<ds:datastoreItem xmlns:ds="http://schemas.openxmlformats.org/officeDocument/2006/customXml" ds:itemID="{EB84F529-4C33-4FF2-BB5F-CB4E642676BC}"/>
</file>

<file path=customXml/itemProps4.xml><?xml version="1.0" encoding="utf-8"?>
<ds:datastoreItem xmlns:ds="http://schemas.openxmlformats.org/officeDocument/2006/customXml" ds:itemID="{CEBC8532-71C4-4507-91EC-962651D33D76}"/>
</file>

<file path=docProps/app.xml><?xml version="1.0" encoding="utf-8"?>
<Properties xmlns="http://schemas.openxmlformats.org/officeDocument/2006/extended-properties" xmlns:vt="http://schemas.openxmlformats.org/officeDocument/2006/docPropsVTypes">
  <Template>Normal</Template>
  <TotalTime>84</TotalTime>
  <Pages>5</Pages>
  <Words>1924</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2021-12-22 MEMORIA JUSTIFICATIVA MODIFICACIÓN PEMP MURALLAS CARTAGENA DE INDIAS</dc:title>
  <dc:subject/>
  <dc:creator>Mauricio Herrera Bermudez</dc:creator>
  <cp:keywords/>
  <dc:description/>
  <cp:lastModifiedBy>Mauricio Herrera Bermudez</cp:lastModifiedBy>
  <cp:revision>1</cp:revision>
  <dcterms:created xsi:type="dcterms:W3CDTF">2021-12-23T21:54:00Z</dcterms:created>
  <dcterms:modified xsi:type="dcterms:W3CDTF">2021-12-23T23:24:00Z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54996d09-d9b0-46f9-85e2-294aaab11d96</vt:lpwstr>
  </property>
</Properties>
</file>