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8C3A50" w:rsidRPr="00594C6E" w14:paraId="1A46EBDF" w14:textId="77777777" w:rsidTr="0001350A">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0EA4FCC7" w14:textId="77777777" w:rsidR="008C3A50" w:rsidRPr="00594C6E" w:rsidRDefault="008C3A50" w:rsidP="0001350A">
            <w:pPr>
              <w:pStyle w:val="Ttulo2"/>
              <w:ind w:right="72"/>
              <w:jc w:val="left"/>
              <w:rPr>
                <w:rFonts w:ascii="Work Sans" w:hAnsi="Work Sans" w:cs="Arial"/>
                <w:bCs/>
                <w:color w:val="FFFFFF"/>
                <w:sz w:val="22"/>
                <w:szCs w:val="22"/>
              </w:rPr>
            </w:pPr>
            <w:r w:rsidRPr="00594C6E">
              <w:rPr>
                <w:rFonts w:ascii="Work Sans" w:hAnsi="Work Sans" w:cs="Arial"/>
                <w:color w:val="FFFFFF"/>
                <w:sz w:val="22"/>
                <w:szCs w:val="22"/>
                <w:lang w:val="es-CO"/>
              </w:rPr>
              <w:t>Entidad originadora:</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6A820D58" w14:textId="77777777" w:rsidR="008C3A50" w:rsidRPr="00594C6E" w:rsidRDefault="008C3A50" w:rsidP="0001350A">
            <w:pPr>
              <w:pStyle w:val="Sangra2detindependiente"/>
              <w:spacing w:line="240" w:lineRule="auto"/>
              <w:ind w:left="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Ministerio de Cultura</w:t>
            </w:r>
          </w:p>
        </w:tc>
      </w:tr>
      <w:tr w:rsidR="008C3A50" w:rsidRPr="00594C6E" w14:paraId="75B970C2" w14:textId="77777777" w:rsidTr="0001350A">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2DD38A00" w14:textId="77777777" w:rsidR="008C3A50" w:rsidRPr="00594C6E" w:rsidRDefault="008C3A50" w:rsidP="0001350A">
            <w:pPr>
              <w:pStyle w:val="Ttulo2"/>
              <w:ind w:right="72"/>
              <w:jc w:val="left"/>
              <w:rPr>
                <w:rFonts w:ascii="Work Sans" w:hAnsi="Work Sans" w:cs="Arial"/>
                <w:bCs/>
                <w:color w:val="FFFFFF"/>
                <w:sz w:val="22"/>
                <w:szCs w:val="22"/>
              </w:rPr>
            </w:pPr>
            <w:r w:rsidRPr="00594C6E">
              <w:rPr>
                <w:rFonts w:ascii="Work Sans" w:hAnsi="Work Sans" w:cs="Arial"/>
                <w:bCs/>
                <w:color w:val="FFFFFF"/>
                <w:sz w:val="22"/>
                <w:szCs w:val="22"/>
              </w:rPr>
              <w:t>Fecha (dd/mm/aa):</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2762007D" w14:textId="03C16062" w:rsidR="008C3A50" w:rsidRPr="00594C6E" w:rsidRDefault="00F2671D" w:rsidP="0001350A">
            <w:pPr>
              <w:pStyle w:val="Sangra2detindependiente"/>
              <w:spacing w:line="240" w:lineRule="auto"/>
              <w:ind w:left="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31</w:t>
            </w:r>
            <w:r w:rsidR="008C3A50" w:rsidRPr="00594C6E">
              <w:rPr>
                <w:rFonts w:ascii="Work Sans" w:hAnsi="Work Sans" w:cs="Arial"/>
                <w:bCs/>
                <w:color w:val="333333"/>
                <w:sz w:val="22"/>
                <w:szCs w:val="22"/>
                <w:shd w:val="clear" w:color="auto" w:fill="FFFFFF"/>
              </w:rPr>
              <w:t>/12/2021</w:t>
            </w:r>
          </w:p>
        </w:tc>
      </w:tr>
      <w:tr w:rsidR="008C3A50" w:rsidRPr="00594C6E" w14:paraId="5CFD72F9" w14:textId="77777777" w:rsidTr="0001350A">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6627A8E7" w14:textId="77777777" w:rsidR="008C3A50" w:rsidRPr="00594C6E" w:rsidRDefault="008C3A50" w:rsidP="0001350A">
            <w:pPr>
              <w:pStyle w:val="Ttulo2"/>
              <w:ind w:right="72"/>
              <w:jc w:val="left"/>
              <w:rPr>
                <w:rFonts w:ascii="Work Sans" w:hAnsi="Work Sans" w:cs="Arial"/>
                <w:bCs/>
                <w:color w:val="FFFFFF"/>
                <w:sz w:val="22"/>
                <w:szCs w:val="22"/>
              </w:rPr>
            </w:pPr>
            <w:r w:rsidRPr="00594C6E">
              <w:rPr>
                <w:rFonts w:ascii="Work Sans" w:hAnsi="Work Sans" w:cs="Arial"/>
                <w:bCs/>
                <w:color w:val="FFFFFF"/>
                <w:sz w:val="22"/>
                <w:szCs w:val="22"/>
              </w:rPr>
              <w:t>Proyecto de Decreto/Resolución:</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1A878B73" w14:textId="77D5BA6C" w:rsidR="008C3A50" w:rsidRPr="00594C6E" w:rsidRDefault="00594C6E" w:rsidP="00594C6E">
            <w:pPr>
              <w:pStyle w:val="Textoindependiente2"/>
              <w:spacing w:after="0" w:line="240" w:lineRule="auto"/>
              <w:jc w:val="both"/>
              <w:rPr>
                <w:rFonts w:ascii="Work Sans" w:hAnsi="Work Sans"/>
                <w:iCs/>
                <w:color w:val="000000" w:themeColor="text1"/>
                <w:sz w:val="22"/>
                <w:szCs w:val="22"/>
              </w:rPr>
            </w:pPr>
            <w:r w:rsidRPr="00DB7B8B">
              <w:rPr>
                <w:rFonts w:ascii="Work Sans" w:hAnsi="Work Sans"/>
                <w:iCs/>
                <w:color w:val="000000" w:themeColor="text1"/>
                <w:sz w:val="22"/>
                <w:szCs w:val="22"/>
              </w:rPr>
              <w:t xml:space="preserve">Por </w:t>
            </w:r>
            <w:r>
              <w:rPr>
                <w:rFonts w:ascii="Work Sans" w:hAnsi="Work Sans"/>
                <w:iCs/>
                <w:color w:val="000000" w:themeColor="text1"/>
                <w:sz w:val="22"/>
                <w:szCs w:val="22"/>
              </w:rPr>
              <w:t>medio de la cual, de manera transitoria y exclusiva se mantiene la clasificac</w:t>
            </w:r>
            <w:r>
              <w:rPr>
                <w:rFonts w:ascii="Work Sans" w:hAnsi="Work Sans"/>
                <w:iCs/>
                <w:color w:val="000000" w:themeColor="text1"/>
                <w:sz w:val="22"/>
                <w:szCs w:val="22"/>
              </w:rPr>
              <w:t>ión de productores permanentes u</w:t>
            </w:r>
            <w:bookmarkStart w:id="0" w:name="_GoBack"/>
            <w:bookmarkEnd w:id="0"/>
            <w:r>
              <w:rPr>
                <w:rFonts w:ascii="Work Sans" w:hAnsi="Work Sans"/>
                <w:iCs/>
                <w:color w:val="000000" w:themeColor="text1"/>
                <w:sz w:val="22"/>
                <w:szCs w:val="22"/>
              </w:rPr>
              <w:t xml:space="preserve"> ocasionales de la ley 1493 de 2011</w:t>
            </w:r>
          </w:p>
        </w:tc>
      </w:tr>
      <w:tr w:rsidR="008C3A50" w:rsidRPr="00594C6E" w14:paraId="62F74A5F" w14:textId="77777777" w:rsidTr="0001350A">
        <w:trPr>
          <w:trHeight w:val="674"/>
        </w:trPr>
        <w:tc>
          <w:tcPr>
            <w:tcW w:w="10774" w:type="dxa"/>
            <w:gridSpan w:val="3"/>
            <w:tcBorders>
              <w:top w:val="single" w:sz="4" w:space="0" w:color="auto"/>
            </w:tcBorders>
            <w:shd w:val="clear" w:color="auto" w:fill="FFFFFF"/>
            <w:vAlign w:val="center"/>
          </w:tcPr>
          <w:p w14:paraId="02309D24" w14:textId="77777777" w:rsidR="008C3A50" w:rsidRPr="00594C6E" w:rsidRDefault="008C3A50" w:rsidP="0001350A">
            <w:pPr>
              <w:ind w:right="140"/>
              <w:contextualSpacing/>
              <w:jc w:val="both"/>
              <w:rPr>
                <w:rFonts w:ascii="Work Sans" w:hAnsi="Work Sans" w:cs="Arial"/>
                <w:bCs/>
                <w:color w:val="333333"/>
                <w:sz w:val="22"/>
                <w:szCs w:val="22"/>
                <w:shd w:val="clear" w:color="auto" w:fill="FFFFFF"/>
              </w:rPr>
            </w:pPr>
          </w:p>
          <w:p w14:paraId="1E092A06" w14:textId="77777777" w:rsidR="008C3A50" w:rsidRPr="00594C6E" w:rsidRDefault="008C3A50" w:rsidP="0001350A">
            <w:pPr>
              <w:numPr>
                <w:ilvl w:val="0"/>
                <w:numId w:val="1"/>
              </w:numPr>
              <w:ind w:left="494"/>
              <w:jc w:val="both"/>
              <w:rPr>
                <w:rFonts w:ascii="Work Sans" w:hAnsi="Work Sans" w:cs="Calibri Light"/>
                <w:b/>
                <w:color w:val="000000"/>
                <w:sz w:val="22"/>
                <w:szCs w:val="22"/>
                <w:lang w:val="es-CO"/>
              </w:rPr>
            </w:pPr>
            <w:r w:rsidRPr="00594C6E">
              <w:rPr>
                <w:rFonts w:ascii="Work Sans" w:hAnsi="Work Sans" w:cs="Calibri Light"/>
                <w:b/>
                <w:color w:val="000000"/>
                <w:sz w:val="22"/>
                <w:szCs w:val="22"/>
                <w:lang w:val="es-CO"/>
              </w:rPr>
              <w:t>ANTECEDENTES Y RAZONES DE OPORTUNIDAD Y CONVENIENCIA QUE JUSTIFICAN SU EXPEDICIÓN.</w:t>
            </w:r>
          </w:p>
          <w:p w14:paraId="609DE7A5" w14:textId="77777777" w:rsidR="008C3A50" w:rsidRPr="00594C6E" w:rsidRDefault="008C3A50" w:rsidP="0001350A">
            <w:pPr>
              <w:pStyle w:val="Sinespaciado"/>
              <w:jc w:val="both"/>
              <w:rPr>
                <w:rFonts w:ascii="Work Sans" w:hAnsi="Work Sans" w:cs="Arial"/>
                <w:bCs/>
                <w:color w:val="333333"/>
                <w:sz w:val="22"/>
                <w:szCs w:val="22"/>
                <w:shd w:val="clear" w:color="auto" w:fill="FFFFFF"/>
                <w:lang w:val="es-ES"/>
              </w:rPr>
            </w:pPr>
          </w:p>
          <w:p w14:paraId="4686E2EC" w14:textId="01565BF7" w:rsidR="008C3A50" w:rsidRPr="00594C6E" w:rsidRDefault="005D0601" w:rsidP="00681CE3">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La Ley 1493 de 2011 </w:t>
            </w:r>
            <w:r w:rsidR="00C059A5" w:rsidRPr="00594C6E">
              <w:rPr>
                <w:rFonts w:ascii="Work Sans" w:hAnsi="Work Sans" w:cs="Arial"/>
                <w:bCs/>
                <w:color w:val="333333"/>
                <w:sz w:val="22"/>
                <w:szCs w:val="22"/>
                <w:shd w:val="clear" w:color="auto" w:fill="FFFFFF"/>
              </w:rPr>
              <w:t xml:space="preserve">reguló varios aspectos relacionados con los espectáculos públicos de las artes escénicas. Uno de esos aspectos fue la creación de una categorización de </w:t>
            </w:r>
            <w:r w:rsidRPr="00594C6E">
              <w:rPr>
                <w:rFonts w:ascii="Work Sans" w:hAnsi="Work Sans" w:cs="Arial"/>
                <w:bCs/>
                <w:color w:val="333333"/>
                <w:sz w:val="22"/>
                <w:szCs w:val="22"/>
                <w:shd w:val="clear" w:color="auto" w:fill="FFFFFF"/>
              </w:rPr>
              <w:t>los productores d</w:t>
            </w:r>
            <w:r w:rsidR="00C059A5" w:rsidRPr="00594C6E">
              <w:rPr>
                <w:rFonts w:ascii="Work Sans" w:hAnsi="Work Sans" w:cs="Arial"/>
                <w:bCs/>
                <w:color w:val="333333"/>
                <w:sz w:val="22"/>
                <w:szCs w:val="22"/>
                <w:shd w:val="clear" w:color="auto" w:fill="FFFFFF"/>
              </w:rPr>
              <w:t xml:space="preserve">e espectáculos públicos de las artes escénicas. El criterio para determinar la categoría que le corresponde a un productor </w:t>
            </w:r>
            <w:r w:rsidR="00027C44" w:rsidRPr="00594C6E">
              <w:rPr>
                <w:rFonts w:ascii="Work Sans" w:hAnsi="Work Sans" w:cs="Arial"/>
                <w:bCs/>
                <w:color w:val="333333"/>
                <w:sz w:val="22"/>
                <w:szCs w:val="22"/>
                <w:shd w:val="clear" w:color="auto" w:fill="FFFFFF"/>
              </w:rPr>
              <w:t>es el número de espectáculos públicos que realiza dentro de un periodo de tiempo.</w:t>
            </w:r>
            <w:r w:rsidR="001F1230" w:rsidRPr="00594C6E">
              <w:rPr>
                <w:rFonts w:ascii="Work Sans" w:hAnsi="Work Sans" w:cs="Arial"/>
                <w:bCs/>
                <w:color w:val="333333"/>
                <w:sz w:val="22"/>
                <w:szCs w:val="22"/>
                <w:shd w:val="clear" w:color="auto" w:fill="FFFFFF"/>
              </w:rPr>
              <w:t xml:space="preserve"> El Ministerio de Cultura tiene la competencia para reclasificar a los productores cada dos años.</w:t>
            </w:r>
          </w:p>
          <w:p w14:paraId="501C0966" w14:textId="5EA16DA9" w:rsidR="00027C44" w:rsidRPr="00594C6E" w:rsidRDefault="00027C44" w:rsidP="00681CE3">
            <w:pPr>
              <w:ind w:right="140"/>
              <w:jc w:val="both"/>
              <w:rPr>
                <w:rFonts w:ascii="Work Sans" w:hAnsi="Work Sans" w:cs="Arial"/>
                <w:bCs/>
                <w:color w:val="333333"/>
                <w:sz w:val="22"/>
                <w:szCs w:val="22"/>
                <w:shd w:val="clear" w:color="auto" w:fill="FFFFFF"/>
              </w:rPr>
            </w:pPr>
          </w:p>
          <w:p w14:paraId="71F8E3E7" w14:textId="7ACC9D72" w:rsidR="00027C44" w:rsidRPr="00594C6E" w:rsidRDefault="00027C44" w:rsidP="00681CE3">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El tema está reglamentado por el </w:t>
            </w:r>
            <w:r w:rsidR="00F2671D" w:rsidRPr="00594C6E">
              <w:rPr>
                <w:rFonts w:ascii="Work Sans" w:hAnsi="Work Sans" w:cs="Arial"/>
                <w:bCs/>
                <w:color w:val="333333"/>
                <w:sz w:val="22"/>
                <w:szCs w:val="22"/>
                <w:shd w:val="clear" w:color="auto" w:fill="FFFFFF"/>
              </w:rPr>
              <w:t>DUR del sector cultura</w:t>
            </w:r>
            <w:r w:rsidRPr="00594C6E">
              <w:rPr>
                <w:rFonts w:ascii="Work Sans" w:hAnsi="Work Sans" w:cs="Arial"/>
                <w:bCs/>
                <w:color w:val="333333"/>
                <w:sz w:val="22"/>
                <w:szCs w:val="22"/>
                <w:shd w:val="clear" w:color="auto" w:fill="FFFFFF"/>
              </w:rPr>
              <w:t xml:space="preserve">, en donde se establece que </w:t>
            </w:r>
            <w:r w:rsidRPr="00594C6E">
              <w:rPr>
                <w:rFonts w:ascii="Work Sans" w:hAnsi="Work Sans" w:cs="Arial"/>
                <w:bCs/>
                <w:color w:val="333333"/>
                <w:sz w:val="22"/>
                <w:szCs w:val="22"/>
                <w:shd w:val="clear" w:color="auto" w:fill="FFFFFF"/>
                <w:lang w:val="es-CO"/>
              </w:rPr>
              <w:t>serán considerados como permanentes los productores que realicen diez (10) o más espectáculos públicos de las artes escénicas en un periodo de dos (2) años, o quienes en un término igual produzcan festivales o temporadas de espectáculos públicos de las artes escénicas que involucren veinte (20) o más eventos, funciones o presentaciones</w:t>
            </w:r>
            <w:r w:rsidR="00530BB5" w:rsidRPr="00594C6E">
              <w:rPr>
                <w:rStyle w:val="Refdenotaalpie"/>
                <w:rFonts w:ascii="Work Sans" w:hAnsi="Work Sans" w:cs="Arial"/>
                <w:bCs/>
                <w:color w:val="333333"/>
                <w:sz w:val="22"/>
                <w:szCs w:val="22"/>
                <w:shd w:val="clear" w:color="auto" w:fill="FFFFFF"/>
                <w:lang w:val="es-CO"/>
              </w:rPr>
              <w:footnoteReference w:id="1"/>
            </w:r>
            <w:r w:rsidRPr="00594C6E">
              <w:rPr>
                <w:rFonts w:ascii="Work Sans" w:hAnsi="Work Sans" w:cs="Arial"/>
                <w:bCs/>
                <w:color w:val="333333"/>
                <w:sz w:val="22"/>
                <w:szCs w:val="22"/>
                <w:shd w:val="clear" w:color="auto" w:fill="FFFFFF"/>
                <w:lang w:val="es-CO"/>
              </w:rPr>
              <w:t>.</w:t>
            </w:r>
          </w:p>
          <w:p w14:paraId="370820C6" w14:textId="4B064420" w:rsidR="00C059A5" w:rsidRPr="00594C6E" w:rsidRDefault="00C059A5" w:rsidP="00681CE3">
            <w:pPr>
              <w:ind w:right="140"/>
              <w:jc w:val="both"/>
              <w:rPr>
                <w:rFonts w:ascii="Work Sans" w:hAnsi="Work Sans" w:cs="Arial"/>
                <w:bCs/>
                <w:color w:val="333333"/>
                <w:sz w:val="22"/>
                <w:szCs w:val="22"/>
                <w:shd w:val="clear" w:color="auto" w:fill="FFFFFF"/>
              </w:rPr>
            </w:pPr>
          </w:p>
          <w:p w14:paraId="4A70581D" w14:textId="3390F9F0" w:rsidR="00027C44" w:rsidRPr="00594C6E" w:rsidRDefault="00027C44" w:rsidP="00681CE3">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Uno de los sectores que más impacto sufrió con la pandemia causada por el COVID 19 fue el de los espectáculos públicos de las artes escénicas. Esto se debe a que </w:t>
            </w:r>
            <w:r w:rsidR="00974780" w:rsidRPr="00594C6E">
              <w:rPr>
                <w:rFonts w:ascii="Work Sans" w:hAnsi="Work Sans" w:cs="Arial"/>
                <w:bCs/>
                <w:color w:val="333333"/>
                <w:sz w:val="22"/>
                <w:szCs w:val="22"/>
                <w:shd w:val="clear" w:color="auto" w:fill="FFFFFF"/>
              </w:rPr>
              <w:t xml:space="preserve">los espectáculos públicos se realizan comúnmente de manera presencial e implican la concentración de varias personas. Así, las medidas adoptadas para combatir la pandemia impedían la realización de ese tipo de espectáculos, toda vez que se impusieron restricciones para </w:t>
            </w:r>
            <w:r w:rsidR="00F2671D" w:rsidRPr="00594C6E">
              <w:rPr>
                <w:rFonts w:ascii="Work Sans" w:hAnsi="Work Sans" w:cs="Arial"/>
                <w:bCs/>
                <w:color w:val="333333"/>
                <w:sz w:val="22"/>
                <w:szCs w:val="22"/>
                <w:shd w:val="clear" w:color="auto" w:fill="FFFFFF"/>
              </w:rPr>
              <w:t>la circulación de personas,</w:t>
            </w:r>
            <w:r w:rsidR="00974780" w:rsidRPr="00594C6E">
              <w:rPr>
                <w:rFonts w:ascii="Work Sans" w:hAnsi="Work Sans" w:cs="Arial"/>
                <w:bCs/>
                <w:color w:val="333333"/>
                <w:sz w:val="22"/>
                <w:szCs w:val="22"/>
                <w:shd w:val="clear" w:color="auto" w:fill="FFFFFF"/>
              </w:rPr>
              <w:t xml:space="preserve"> se restringió la realización de espectáculos públicos</w:t>
            </w:r>
            <w:r w:rsidR="00F2671D" w:rsidRPr="00594C6E">
              <w:rPr>
                <w:rFonts w:ascii="Work Sans" w:hAnsi="Work Sans" w:cs="Arial"/>
                <w:bCs/>
                <w:color w:val="333333"/>
                <w:sz w:val="22"/>
                <w:szCs w:val="22"/>
                <w:shd w:val="clear" w:color="auto" w:fill="FFFFFF"/>
              </w:rPr>
              <w:t>, y por último</w:t>
            </w:r>
            <w:r w:rsidR="00974780" w:rsidRPr="00594C6E">
              <w:rPr>
                <w:rFonts w:ascii="Work Sans" w:hAnsi="Work Sans" w:cs="Arial"/>
                <w:bCs/>
                <w:color w:val="333333"/>
                <w:sz w:val="22"/>
                <w:szCs w:val="22"/>
                <w:shd w:val="clear" w:color="auto" w:fill="FFFFFF"/>
              </w:rPr>
              <w:t xml:space="preserve"> se limitó el aforo de personas. </w:t>
            </w:r>
          </w:p>
          <w:p w14:paraId="0BED3447" w14:textId="77777777" w:rsidR="00027C44" w:rsidRPr="00594C6E" w:rsidRDefault="00027C44" w:rsidP="00681CE3">
            <w:pPr>
              <w:ind w:right="140"/>
              <w:jc w:val="both"/>
              <w:rPr>
                <w:rFonts w:ascii="Work Sans" w:hAnsi="Work Sans" w:cs="Arial"/>
                <w:bCs/>
                <w:color w:val="333333"/>
                <w:sz w:val="22"/>
                <w:szCs w:val="22"/>
                <w:shd w:val="clear" w:color="auto" w:fill="FFFFFF"/>
              </w:rPr>
            </w:pPr>
          </w:p>
          <w:p w14:paraId="2951EE2B" w14:textId="1C3633FD" w:rsidR="00C059A5" w:rsidRPr="00594C6E" w:rsidRDefault="00974780" w:rsidP="00681CE3">
            <w:pPr>
              <w:ind w:right="140"/>
              <w:jc w:val="both"/>
              <w:rPr>
                <w:rFonts w:ascii="Work Sans" w:hAnsi="Work Sans"/>
                <w:color w:val="000000" w:themeColor="text1"/>
                <w:sz w:val="22"/>
                <w:szCs w:val="22"/>
                <w:shd w:val="clear" w:color="auto" w:fill="FFFFFF"/>
              </w:rPr>
            </w:pPr>
            <w:r w:rsidRPr="00594C6E">
              <w:rPr>
                <w:rFonts w:ascii="Work Sans" w:hAnsi="Work Sans" w:cs="Arial"/>
                <w:bCs/>
                <w:color w:val="333333"/>
                <w:sz w:val="22"/>
                <w:szCs w:val="22"/>
                <w:shd w:val="clear" w:color="auto" w:fill="FFFFFF"/>
              </w:rPr>
              <w:t xml:space="preserve">Las limitaciones en mención hicieron </w:t>
            </w:r>
            <w:r w:rsidR="00DA4244" w:rsidRPr="00594C6E">
              <w:rPr>
                <w:rFonts w:ascii="Work Sans" w:hAnsi="Work Sans" w:cs="Arial"/>
                <w:bCs/>
                <w:color w:val="333333"/>
                <w:sz w:val="22"/>
                <w:szCs w:val="22"/>
                <w:shd w:val="clear" w:color="auto" w:fill="FFFFFF"/>
              </w:rPr>
              <w:t>casi imposible</w:t>
            </w:r>
            <w:r w:rsidR="00027C44" w:rsidRPr="00594C6E">
              <w:rPr>
                <w:rFonts w:ascii="Work Sans" w:hAnsi="Work Sans" w:cs="Arial"/>
                <w:bCs/>
                <w:color w:val="333333"/>
                <w:sz w:val="22"/>
                <w:szCs w:val="22"/>
                <w:shd w:val="clear" w:color="auto" w:fill="FFFFFF"/>
              </w:rPr>
              <w:t xml:space="preserve"> </w:t>
            </w:r>
            <w:r w:rsidRPr="00594C6E">
              <w:rPr>
                <w:rFonts w:ascii="Work Sans" w:hAnsi="Work Sans" w:cs="Arial"/>
                <w:bCs/>
                <w:color w:val="333333"/>
                <w:sz w:val="22"/>
                <w:szCs w:val="22"/>
                <w:shd w:val="clear" w:color="auto" w:fill="FFFFFF"/>
              </w:rPr>
              <w:t xml:space="preserve">que los productores que tenían la categoría de “permanentes” </w:t>
            </w:r>
            <w:r w:rsidR="00F2671D" w:rsidRPr="00594C6E">
              <w:rPr>
                <w:rFonts w:ascii="Work Sans" w:hAnsi="Work Sans" w:cs="Arial"/>
                <w:bCs/>
                <w:color w:val="333333"/>
                <w:sz w:val="22"/>
                <w:szCs w:val="22"/>
                <w:shd w:val="clear" w:color="auto" w:fill="FFFFFF"/>
              </w:rPr>
              <w:t>el cumplimiento</w:t>
            </w:r>
            <w:r w:rsidRPr="00594C6E">
              <w:rPr>
                <w:rFonts w:ascii="Work Sans" w:hAnsi="Work Sans" w:cs="Arial"/>
                <w:bCs/>
                <w:color w:val="333333"/>
                <w:sz w:val="22"/>
                <w:szCs w:val="22"/>
                <w:shd w:val="clear" w:color="auto" w:fill="FFFFFF"/>
              </w:rPr>
              <w:t xml:space="preserve"> </w:t>
            </w:r>
            <w:r w:rsidR="00F2671D" w:rsidRPr="00594C6E">
              <w:rPr>
                <w:rFonts w:ascii="Work Sans" w:hAnsi="Work Sans" w:cs="Arial"/>
                <w:bCs/>
                <w:color w:val="333333"/>
                <w:sz w:val="22"/>
                <w:szCs w:val="22"/>
                <w:shd w:val="clear" w:color="auto" w:fill="FFFFFF"/>
              </w:rPr>
              <w:t>de</w:t>
            </w:r>
            <w:r w:rsidRPr="00594C6E">
              <w:rPr>
                <w:rFonts w:ascii="Work Sans" w:hAnsi="Work Sans" w:cs="Arial"/>
                <w:bCs/>
                <w:color w:val="333333"/>
                <w:sz w:val="22"/>
                <w:szCs w:val="22"/>
                <w:shd w:val="clear" w:color="auto" w:fill="FFFFFF"/>
              </w:rPr>
              <w:t xml:space="preserve">l número de espectáculos públicos requerido </w:t>
            </w:r>
            <w:r w:rsidR="00530BB5" w:rsidRPr="00594C6E">
              <w:rPr>
                <w:rFonts w:ascii="Work Sans" w:hAnsi="Work Sans" w:cs="Arial"/>
                <w:bCs/>
                <w:color w:val="333333"/>
                <w:sz w:val="22"/>
                <w:szCs w:val="22"/>
                <w:shd w:val="clear" w:color="auto" w:fill="FFFFFF"/>
              </w:rPr>
              <w:t xml:space="preserve">para conservar esa clasificación. También debe tenerse en cuenta que la imposibilidad de cumplir con el requisito del artículo </w:t>
            </w:r>
            <w:r w:rsidR="00F2671D" w:rsidRPr="00594C6E">
              <w:rPr>
                <w:rFonts w:ascii="Work Sans" w:hAnsi="Work Sans"/>
                <w:color w:val="000000" w:themeColor="text1"/>
                <w:sz w:val="22"/>
                <w:szCs w:val="22"/>
                <w:shd w:val="clear" w:color="auto" w:fill="FFFFFF"/>
              </w:rPr>
              <w:t>2.9.1.2.11</w:t>
            </w:r>
            <w:r w:rsidR="00530BB5" w:rsidRPr="00594C6E">
              <w:rPr>
                <w:rFonts w:ascii="Work Sans" w:hAnsi="Work Sans"/>
                <w:color w:val="000000" w:themeColor="text1"/>
                <w:sz w:val="22"/>
                <w:szCs w:val="22"/>
                <w:shd w:val="clear" w:color="auto" w:fill="FFFFFF"/>
              </w:rPr>
              <w:t xml:space="preserve"> del Decreto 1080 de 2015 obedece a circunstancias externas a la voluntad de los productores, las cuales no se podían prever ni tampoco administrar.</w:t>
            </w:r>
          </w:p>
          <w:p w14:paraId="38126097" w14:textId="341063B0" w:rsidR="00530BB5" w:rsidRPr="00594C6E" w:rsidRDefault="00530BB5" w:rsidP="00681CE3">
            <w:pPr>
              <w:ind w:right="140"/>
              <w:jc w:val="both"/>
              <w:rPr>
                <w:rFonts w:ascii="Work Sans" w:hAnsi="Work Sans"/>
                <w:color w:val="000000" w:themeColor="text1"/>
                <w:sz w:val="22"/>
                <w:szCs w:val="22"/>
                <w:shd w:val="clear" w:color="auto" w:fill="FFFFFF"/>
              </w:rPr>
            </w:pPr>
          </w:p>
          <w:p w14:paraId="29AE7F7B" w14:textId="77777777" w:rsidR="001F1230" w:rsidRPr="00594C6E" w:rsidRDefault="00866BC1" w:rsidP="00681CE3">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Es un deber del Estado impulsar, fomentar y estimular los procesos, proyectos y actividades culturales, </w:t>
            </w:r>
            <w:r w:rsidR="00F2671D" w:rsidRPr="00594C6E">
              <w:rPr>
                <w:rFonts w:ascii="Work Sans" w:hAnsi="Work Sans" w:cs="Arial"/>
                <w:bCs/>
                <w:color w:val="333333"/>
                <w:sz w:val="22"/>
                <w:szCs w:val="22"/>
                <w:shd w:val="clear" w:color="auto" w:fill="FFFFFF"/>
              </w:rPr>
              <w:t>más</w:t>
            </w:r>
            <w:r w:rsidRPr="00594C6E">
              <w:rPr>
                <w:rFonts w:ascii="Work Sans" w:hAnsi="Work Sans" w:cs="Arial"/>
                <w:bCs/>
                <w:color w:val="333333"/>
                <w:sz w:val="22"/>
                <w:szCs w:val="22"/>
                <w:shd w:val="clear" w:color="auto" w:fill="FFFFFF"/>
              </w:rPr>
              <w:t xml:space="preserve"> aún en contextos como el que generó la pandemia del COVID 19.</w:t>
            </w:r>
            <w:r w:rsidR="001F1230" w:rsidRPr="00594C6E">
              <w:rPr>
                <w:rFonts w:ascii="Work Sans" w:hAnsi="Work Sans" w:cs="Arial"/>
                <w:bCs/>
                <w:color w:val="333333"/>
                <w:sz w:val="22"/>
                <w:szCs w:val="22"/>
                <w:shd w:val="clear" w:color="auto" w:fill="FFFFFF"/>
              </w:rPr>
              <w:t xml:space="preserve"> En ese orden, es viable mantener la clasificación de los productores al momento de la expedición del Decreto 417 de 17 de Marzo de 2020.</w:t>
            </w:r>
          </w:p>
          <w:p w14:paraId="265D671B" w14:textId="77777777" w:rsidR="00F2671D" w:rsidRPr="00594C6E" w:rsidRDefault="00F2671D" w:rsidP="00681CE3">
            <w:pPr>
              <w:ind w:right="140"/>
              <w:jc w:val="both"/>
              <w:rPr>
                <w:rFonts w:ascii="Work Sans" w:hAnsi="Work Sans" w:cs="Arial"/>
                <w:bCs/>
                <w:color w:val="333333"/>
                <w:sz w:val="22"/>
                <w:szCs w:val="22"/>
                <w:shd w:val="clear" w:color="auto" w:fill="FFFFFF"/>
              </w:rPr>
            </w:pPr>
          </w:p>
          <w:p w14:paraId="68492CFB" w14:textId="77777777" w:rsidR="00F2671D" w:rsidRPr="00594C6E" w:rsidRDefault="00F2671D" w:rsidP="00F2671D">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En lo que atañe a la publicación del proyecto de resolución, el mismo se debe publicar conforme a las reglas consignadas para estos efectos en el Decreto 1081 de 2015 en su artículo 2.1.2.1.14, que establece como regla general que el acto administrativo que se deba publicar cumpla con unos términos de “por lo menos quince (15) días calendario, antes de ser remitidos a la Secretaría Jurídica de la Presidencia de la República.”. </w:t>
            </w:r>
          </w:p>
          <w:p w14:paraId="5A4F7F89" w14:textId="77777777" w:rsidR="00F2671D" w:rsidRPr="00594C6E" w:rsidRDefault="00F2671D" w:rsidP="00F2671D">
            <w:pPr>
              <w:ind w:right="140"/>
              <w:jc w:val="both"/>
              <w:rPr>
                <w:rFonts w:ascii="Work Sans" w:hAnsi="Work Sans" w:cs="Arial"/>
                <w:bCs/>
                <w:color w:val="333333"/>
                <w:sz w:val="22"/>
                <w:szCs w:val="22"/>
                <w:shd w:val="clear" w:color="auto" w:fill="FFFFFF"/>
              </w:rPr>
            </w:pPr>
          </w:p>
          <w:p w14:paraId="36DC8941" w14:textId="77777777" w:rsidR="00F2671D" w:rsidRPr="00594C6E" w:rsidRDefault="00F2671D" w:rsidP="00F2671D">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lastRenderedPageBreak/>
              <w:t xml:space="preserve">Ahora bien, en el artículo citado, se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14:paraId="458A5E53" w14:textId="77777777" w:rsidR="00F2671D" w:rsidRPr="00594C6E" w:rsidRDefault="00F2671D" w:rsidP="00F2671D">
            <w:pPr>
              <w:ind w:right="140"/>
              <w:jc w:val="both"/>
              <w:rPr>
                <w:rFonts w:ascii="Work Sans" w:hAnsi="Work Sans" w:cs="Arial"/>
                <w:bCs/>
                <w:color w:val="333333"/>
                <w:sz w:val="22"/>
                <w:szCs w:val="22"/>
                <w:shd w:val="clear" w:color="auto" w:fill="FFFFFF"/>
              </w:rPr>
            </w:pPr>
          </w:p>
          <w:p w14:paraId="68517C94" w14:textId="77777777" w:rsidR="00F2671D" w:rsidRPr="00594C6E" w:rsidRDefault="00F2671D" w:rsidP="00F2671D">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“Excepcionalmente, la publicación podrá hacerse por un plazo inferior, siempre que la entidad que lidera el proyecto de reglamentación lo justifique de manera adecuada. En cualquier caso, el plazo deberá ser razonable y ajustado a la necesidad de la regulación.”. </w:t>
            </w:r>
          </w:p>
          <w:p w14:paraId="19251F39" w14:textId="77777777" w:rsidR="00F2671D" w:rsidRPr="00594C6E" w:rsidRDefault="00F2671D" w:rsidP="00F2671D">
            <w:pPr>
              <w:ind w:right="140"/>
              <w:jc w:val="both"/>
              <w:rPr>
                <w:rFonts w:ascii="Work Sans" w:hAnsi="Work Sans" w:cs="Arial"/>
                <w:bCs/>
                <w:color w:val="333333"/>
                <w:sz w:val="22"/>
                <w:szCs w:val="22"/>
                <w:shd w:val="clear" w:color="auto" w:fill="FFFFFF"/>
              </w:rPr>
            </w:pPr>
          </w:p>
          <w:p w14:paraId="49E039C3" w14:textId="77777777" w:rsidR="00514A23" w:rsidRPr="00594C6E" w:rsidRDefault="00F2671D" w:rsidP="00514A23">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Que en ese sentido, y </w:t>
            </w:r>
            <w:r w:rsidRPr="00594C6E">
              <w:rPr>
                <w:rFonts w:ascii="Work Sans" w:hAnsi="Work Sans" w:cs="Arial"/>
                <w:bCs/>
                <w:color w:val="333333"/>
                <w:sz w:val="22"/>
                <w:szCs w:val="22"/>
                <w:shd w:val="clear" w:color="auto" w:fill="FFFFFF"/>
              </w:rPr>
              <w:t xml:space="preserve">entendiendo la naturaleza de la modificación que se pretende realizar, la misma no comporta cambios en las reglas de juego, por el contario, buscan reflejar un resultado asociado al comportamiento que tuvo el mercado de los espectáculos públicos, dejando el estado de cosas sin modificaciones que </w:t>
            </w:r>
            <w:r w:rsidR="00514A23" w:rsidRPr="00594C6E">
              <w:rPr>
                <w:rFonts w:ascii="Work Sans" w:hAnsi="Work Sans" w:cs="Arial"/>
                <w:bCs/>
                <w:color w:val="333333"/>
                <w:sz w:val="22"/>
                <w:szCs w:val="22"/>
                <w:shd w:val="clear" w:color="auto" w:fill="FFFFFF"/>
              </w:rPr>
              <w:t>puedan llegar a perjudicar</w:t>
            </w:r>
            <w:r w:rsidRPr="00594C6E">
              <w:rPr>
                <w:rFonts w:ascii="Work Sans" w:hAnsi="Work Sans" w:cs="Arial"/>
                <w:bCs/>
                <w:color w:val="333333"/>
                <w:sz w:val="22"/>
                <w:szCs w:val="22"/>
                <w:shd w:val="clear" w:color="auto" w:fill="FFFFFF"/>
              </w:rPr>
              <w:t xml:space="preserve"> a aquellas personas que participan en este sector de la economía del país. </w:t>
            </w:r>
          </w:p>
          <w:p w14:paraId="49517A7D" w14:textId="77777777" w:rsidR="00514A23" w:rsidRPr="00594C6E" w:rsidRDefault="00514A23" w:rsidP="00514A23">
            <w:pPr>
              <w:ind w:right="140"/>
              <w:jc w:val="both"/>
              <w:rPr>
                <w:rFonts w:ascii="Work Sans" w:hAnsi="Work Sans" w:cs="Arial"/>
                <w:bCs/>
                <w:color w:val="333333"/>
                <w:sz w:val="22"/>
                <w:szCs w:val="22"/>
                <w:shd w:val="clear" w:color="auto" w:fill="FFFFFF"/>
              </w:rPr>
            </w:pPr>
          </w:p>
          <w:p w14:paraId="39F720DE" w14:textId="3A14C189" w:rsidR="00514A23" w:rsidRPr="00594C6E" w:rsidRDefault="00514A23" w:rsidP="00514A23">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En este sentido, en tratándose de una propuesta que busca mantener la clasificación por un periodo cierto que no sobrepasará los dos años, dicha actividad debe generar nuevamente un modelo de reactivación de este subsector cultural, que según se señala, es quien está solicitando esta clase de medidas. </w:t>
            </w:r>
          </w:p>
          <w:p w14:paraId="28F3F379" w14:textId="77777777" w:rsidR="00514A23" w:rsidRPr="00594C6E" w:rsidRDefault="00514A23" w:rsidP="00514A23">
            <w:pPr>
              <w:ind w:right="140"/>
              <w:jc w:val="both"/>
              <w:rPr>
                <w:rFonts w:ascii="Work Sans" w:hAnsi="Work Sans" w:cs="Arial"/>
                <w:bCs/>
                <w:color w:val="333333"/>
                <w:sz w:val="22"/>
                <w:szCs w:val="22"/>
                <w:shd w:val="clear" w:color="auto" w:fill="FFFFFF"/>
              </w:rPr>
            </w:pPr>
          </w:p>
          <w:p w14:paraId="74F4809F" w14:textId="55D4DF75" w:rsidR="00F2671D" w:rsidRPr="00594C6E" w:rsidRDefault="00514A23" w:rsidP="00514A23">
            <w:pPr>
              <w:ind w:right="140"/>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En consecuencia, </w:t>
            </w:r>
            <w:r w:rsidR="00F2671D" w:rsidRPr="00594C6E">
              <w:rPr>
                <w:rFonts w:ascii="Work Sans" w:hAnsi="Work Sans" w:cs="Arial"/>
                <w:bCs/>
                <w:color w:val="333333"/>
                <w:sz w:val="22"/>
                <w:szCs w:val="22"/>
                <w:shd w:val="clear" w:color="auto" w:fill="FFFFFF"/>
              </w:rPr>
              <w:t>no hay lugar a que se presenten consideraciones adicionales que determinen un plazo completo en cuanto a la exigencia establecida en la norma arriba citada, por lo que es razonable señalar unos tiempos más reducidos para adelantar la publicación del proyecto en cuestión por un término de cinco (5) días calendario.</w:t>
            </w:r>
          </w:p>
        </w:tc>
      </w:tr>
      <w:tr w:rsidR="008C3A50" w:rsidRPr="00594C6E" w14:paraId="7819C2AC" w14:textId="77777777" w:rsidTr="0001350A">
        <w:trPr>
          <w:trHeight w:val="47"/>
        </w:trPr>
        <w:tc>
          <w:tcPr>
            <w:tcW w:w="10774" w:type="dxa"/>
            <w:gridSpan w:val="3"/>
            <w:shd w:val="clear" w:color="auto" w:fill="FFFFFF"/>
            <w:vAlign w:val="center"/>
          </w:tcPr>
          <w:p w14:paraId="43ED0D08" w14:textId="77777777" w:rsidR="008C3A50" w:rsidRPr="00594C6E" w:rsidRDefault="008C3A50" w:rsidP="0001350A">
            <w:pPr>
              <w:jc w:val="both"/>
              <w:rPr>
                <w:rFonts w:ascii="Work Sans" w:hAnsi="Work Sans" w:cs="Arial"/>
                <w:sz w:val="22"/>
                <w:szCs w:val="22"/>
                <w:lang w:eastAsia="es-CO"/>
              </w:rPr>
            </w:pPr>
          </w:p>
        </w:tc>
      </w:tr>
      <w:tr w:rsidR="008C3A50" w:rsidRPr="00594C6E" w14:paraId="69D28464" w14:textId="77777777" w:rsidTr="0001350A">
        <w:trPr>
          <w:trHeight w:val="66"/>
        </w:trPr>
        <w:tc>
          <w:tcPr>
            <w:tcW w:w="10774" w:type="dxa"/>
            <w:gridSpan w:val="3"/>
            <w:tcBorders>
              <w:top w:val="single" w:sz="4" w:space="0" w:color="auto"/>
              <w:bottom w:val="single" w:sz="4" w:space="0" w:color="auto"/>
            </w:tcBorders>
            <w:shd w:val="clear" w:color="auto" w:fill="FFFFFF"/>
            <w:vAlign w:val="center"/>
          </w:tcPr>
          <w:p w14:paraId="0F4E275D" w14:textId="77777777" w:rsidR="008C3A50" w:rsidRPr="00594C6E" w:rsidRDefault="008C3A50" w:rsidP="0001350A">
            <w:pPr>
              <w:numPr>
                <w:ilvl w:val="0"/>
                <w:numId w:val="1"/>
              </w:numPr>
              <w:ind w:left="494"/>
              <w:rPr>
                <w:rFonts w:ascii="Work Sans" w:hAnsi="Work Sans" w:cs="Arial"/>
                <w:b/>
                <w:color w:val="000000"/>
                <w:sz w:val="22"/>
                <w:szCs w:val="22"/>
              </w:rPr>
            </w:pPr>
            <w:r w:rsidRPr="00594C6E">
              <w:rPr>
                <w:rFonts w:ascii="Work Sans" w:hAnsi="Work Sans" w:cs="Arial"/>
                <w:b/>
                <w:color w:val="000000"/>
                <w:sz w:val="22"/>
                <w:szCs w:val="22"/>
              </w:rPr>
              <w:t>AMBITO DE APLICACIÓN Y SUJETOS A QUIENES VA DIRIGIDO</w:t>
            </w:r>
          </w:p>
          <w:p w14:paraId="4448DD65" w14:textId="77777777" w:rsidR="008C3A50" w:rsidRPr="00594C6E" w:rsidRDefault="008C3A50" w:rsidP="0001350A">
            <w:pPr>
              <w:ind w:left="494"/>
              <w:rPr>
                <w:rFonts w:ascii="Work Sans" w:hAnsi="Work Sans" w:cs="Arial"/>
                <w:b/>
                <w:color w:val="000000"/>
                <w:sz w:val="22"/>
                <w:szCs w:val="22"/>
              </w:rPr>
            </w:pPr>
          </w:p>
          <w:p w14:paraId="628D615F" w14:textId="77777777" w:rsidR="000C6499" w:rsidRPr="00594C6E" w:rsidRDefault="008C3A50" w:rsidP="00F2671D">
            <w:pPr>
              <w:ind w:left="134"/>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El ámbito de aplicación </w:t>
            </w:r>
            <w:r w:rsidR="00F2671D" w:rsidRPr="00594C6E">
              <w:rPr>
                <w:rFonts w:ascii="Work Sans" w:hAnsi="Work Sans" w:cs="Arial"/>
                <w:bCs/>
                <w:color w:val="333333"/>
                <w:sz w:val="22"/>
                <w:szCs w:val="22"/>
                <w:shd w:val="clear" w:color="auto" w:fill="FFFFFF"/>
              </w:rPr>
              <w:t xml:space="preserve">es a nivel nacional y va dirigido a los </w:t>
            </w:r>
            <w:r w:rsidR="006F1F52" w:rsidRPr="00594C6E">
              <w:rPr>
                <w:rFonts w:ascii="Work Sans" w:hAnsi="Work Sans" w:cs="Arial"/>
                <w:bCs/>
                <w:color w:val="333333"/>
                <w:sz w:val="22"/>
                <w:szCs w:val="22"/>
                <w:shd w:val="clear" w:color="auto" w:fill="FFFFFF"/>
              </w:rPr>
              <w:t>productores de espectáculos públicos de las artes escénicas que estaban clasificados a 17 de marzo de 2020 como permanentes en los términos de la Ley 1493 de 2011.</w:t>
            </w:r>
          </w:p>
          <w:p w14:paraId="3A6257E3" w14:textId="3C65250D" w:rsidR="00514A23" w:rsidRPr="00594C6E" w:rsidRDefault="00514A23" w:rsidP="00F2671D">
            <w:pPr>
              <w:ind w:left="134"/>
              <w:jc w:val="both"/>
              <w:rPr>
                <w:rFonts w:ascii="Work Sans" w:hAnsi="Work Sans" w:cs="Arial"/>
                <w:bCs/>
                <w:color w:val="333333"/>
                <w:sz w:val="22"/>
                <w:szCs w:val="22"/>
                <w:shd w:val="clear" w:color="auto" w:fill="FFFFFF"/>
              </w:rPr>
            </w:pPr>
          </w:p>
        </w:tc>
      </w:tr>
      <w:tr w:rsidR="008C3A50" w:rsidRPr="00594C6E" w14:paraId="1B08BE99" w14:textId="77777777" w:rsidTr="0001350A">
        <w:trPr>
          <w:trHeight w:val="278"/>
        </w:trPr>
        <w:tc>
          <w:tcPr>
            <w:tcW w:w="10774" w:type="dxa"/>
            <w:gridSpan w:val="3"/>
            <w:tcBorders>
              <w:bottom w:val="single" w:sz="4" w:space="0" w:color="auto"/>
            </w:tcBorders>
            <w:shd w:val="clear" w:color="auto" w:fill="FFFFFF"/>
            <w:vAlign w:val="center"/>
          </w:tcPr>
          <w:p w14:paraId="4C2DE3DE" w14:textId="77777777" w:rsidR="008C3A50" w:rsidRPr="00594C6E" w:rsidRDefault="008C3A50" w:rsidP="0001350A">
            <w:pPr>
              <w:ind w:left="494" w:hanging="283"/>
              <w:rPr>
                <w:rFonts w:ascii="Work Sans" w:hAnsi="Work Sans" w:cs="Arial"/>
                <w:bCs/>
                <w:color w:val="333333"/>
                <w:sz w:val="22"/>
                <w:szCs w:val="22"/>
                <w:shd w:val="clear" w:color="auto" w:fill="FFFFFF"/>
              </w:rPr>
            </w:pPr>
            <w:r w:rsidRPr="00594C6E">
              <w:rPr>
                <w:rFonts w:ascii="Work Sans" w:hAnsi="Work Sans" w:cs="Arial"/>
                <w:b/>
                <w:color w:val="000000"/>
                <w:sz w:val="22"/>
                <w:szCs w:val="22"/>
              </w:rPr>
              <w:t>3. VIABILIDAD JURÍDICA</w:t>
            </w:r>
          </w:p>
          <w:p w14:paraId="178B98F0" w14:textId="77777777" w:rsidR="008C3A50" w:rsidRPr="00594C6E" w:rsidRDefault="008C3A50" w:rsidP="0001350A">
            <w:pPr>
              <w:ind w:left="494" w:hanging="283"/>
              <w:rPr>
                <w:rFonts w:ascii="Work Sans" w:hAnsi="Work Sans" w:cs="Arial"/>
                <w:bCs/>
                <w:color w:val="333333"/>
                <w:sz w:val="22"/>
                <w:szCs w:val="22"/>
                <w:shd w:val="clear" w:color="auto" w:fill="FFFFFF"/>
              </w:rPr>
            </w:pPr>
          </w:p>
          <w:p w14:paraId="6176E822" w14:textId="77777777" w:rsidR="008C3A50" w:rsidRPr="00594C6E" w:rsidRDefault="008C3A50" w:rsidP="0001350A">
            <w:pPr>
              <w:numPr>
                <w:ilvl w:val="1"/>
                <w:numId w:val="4"/>
              </w:numPr>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Análisis de las normas que otorgan la competencia para la expedición del proyecto normativo.</w:t>
            </w:r>
          </w:p>
          <w:p w14:paraId="29B43BFE" w14:textId="77777777" w:rsidR="008C3A50" w:rsidRPr="00594C6E" w:rsidRDefault="008C3A50" w:rsidP="0001350A">
            <w:pPr>
              <w:ind w:left="494" w:hanging="283"/>
              <w:jc w:val="both"/>
              <w:rPr>
                <w:rFonts w:ascii="Work Sans" w:hAnsi="Work Sans" w:cs="Arial"/>
                <w:bCs/>
                <w:color w:val="333333"/>
                <w:sz w:val="22"/>
                <w:szCs w:val="22"/>
                <w:shd w:val="clear" w:color="auto" w:fill="FFFFFF"/>
              </w:rPr>
            </w:pPr>
          </w:p>
          <w:p w14:paraId="0568687C" w14:textId="2325B0E9" w:rsidR="006F1F52" w:rsidRPr="00594C6E" w:rsidRDefault="006F1F52" w:rsidP="0001350A">
            <w:pPr>
              <w:numPr>
                <w:ilvl w:val="0"/>
                <w:numId w:val="3"/>
              </w:numPr>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Ley 1493 de 2011.</w:t>
            </w:r>
          </w:p>
          <w:p w14:paraId="7800AE1D" w14:textId="77777777" w:rsidR="006F1F52" w:rsidRPr="00594C6E" w:rsidRDefault="006F1F52" w:rsidP="006F1F52">
            <w:pPr>
              <w:ind w:left="720"/>
              <w:jc w:val="both"/>
              <w:rPr>
                <w:rFonts w:ascii="Work Sans" w:hAnsi="Work Sans" w:cs="Arial"/>
                <w:bCs/>
                <w:color w:val="333333"/>
                <w:sz w:val="22"/>
                <w:szCs w:val="22"/>
                <w:shd w:val="clear" w:color="auto" w:fill="FFFFFF"/>
              </w:rPr>
            </w:pPr>
          </w:p>
          <w:p w14:paraId="026E385F" w14:textId="3C00CA94" w:rsidR="008C3A50" w:rsidRPr="00594C6E" w:rsidRDefault="008C3A50" w:rsidP="0001350A">
            <w:pPr>
              <w:numPr>
                <w:ilvl w:val="0"/>
                <w:numId w:val="3"/>
              </w:numPr>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Decreto 1080 del 26 de mayo de 2015 Decreto Único Reglamentario del Sector Cultura.</w:t>
            </w:r>
          </w:p>
          <w:p w14:paraId="597557B9" w14:textId="77777777" w:rsidR="008C3A50" w:rsidRPr="00594C6E" w:rsidRDefault="008C3A50" w:rsidP="0001350A">
            <w:pPr>
              <w:ind w:left="720"/>
              <w:jc w:val="both"/>
              <w:rPr>
                <w:rFonts w:ascii="Work Sans" w:hAnsi="Work Sans" w:cs="Arial"/>
                <w:bCs/>
                <w:color w:val="333333"/>
                <w:sz w:val="22"/>
                <w:szCs w:val="22"/>
                <w:shd w:val="clear" w:color="auto" w:fill="FFFFFF"/>
              </w:rPr>
            </w:pPr>
          </w:p>
          <w:p w14:paraId="1F488E6C" w14:textId="77777777" w:rsidR="008C3A50" w:rsidRPr="00594C6E" w:rsidRDefault="008C3A50" w:rsidP="0001350A">
            <w:pPr>
              <w:numPr>
                <w:ilvl w:val="1"/>
                <w:numId w:val="4"/>
              </w:numPr>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Vigencia de la ley o norma reglamentada o desarrollada.</w:t>
            </w:r>
          </w:p>
          <w:p w14:paraId="3D8C872C" w14:textId="77777777" w:rsidR="008C3A50" w:rsidRPr="00594C6E" w:rsidRDefault="008C3A50" w:rsidP="0001350A">
            <w:pPr>
              <w:ind w:hanging="638"/>
              <w:jc w:val="both"/>
              <w:rPr>
                <w:rFonts w:ascii="Work Sans" w:hAnsi="Work Sans" w:cs="Arial"/>
                <w:bCs/>
                <w:color w:val="333333"/>
                <w:sz w:val="22"/>
                <w:szCs w:val="22"/>
                <w:shd w:val="clear" w:color="auto" w:fill="FFFFFF"/>
              </w:rPr>
            </w:pPr>
          </w:p>
          <w:p w14:paraId="532A76D4" w14:textId="3EFCED46" w:rsidR="008C3A50" w:rsidRPr="00594C6E" w:rsidRDefault="006F1F52" w:rsidP="008C3A50">
            <w:pPr>
              <w:numPr>
                <w:ilvl w:val="0"/>
                <w:numId w:val="5"/>
              </w:numPr>
              <w:ind w:left="638" w:hanging="283"/>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La resolución </w:t>
            </w:r>
            <w:r w:rsidR="000A0FC4" w:rsidRPr="00594C6E">
              <w:rPr>
                <w:rFonts w:ascii="Work Sans" w:hAnsi="Work Sans" w:cs="Arial"/>
                <w:bCs/>
                <w:color w:val="333333"/>
                <w:sz w:val="22"/>
                <w:szCs w:val="22"/>
                <w:shd w:val="clear" w:color="auto" w:fill="FFFFFF"/>
              </w:rPr>
              <w:t>entrará en vigor</w:t>
            </w:r>
            <w:r w:rsidRPr="00594C6E">
              <w:rPr>
                <w:rFonts w:ascii="Work Sans" w:hAnsi="Work Sans" w:cs="Arial"/>
                <w:bCs/>
                <w:color w:val="333333"/>
                <w:sz w:val="22"/>
                <w:szCs w:val="22"/>
                <w:shd w:val="clear" w:color="auto" w:fill="FFFFFF"/>
              </w:rPr>
              <w:t xml:space="preserve"> a partir de su publicación y sus efectos se extenderán hasta la actualización de la clasificación que corresponde al periodo 2022 a 2024</w:t>
            </w:r>
            <w:r w:rsidR="002A7370" w:rsidRPr="00594C6E">
              <w:rPr>
                <w:rFonts w:ascii="Work Sans" w:hAnsi="Work Sans" w:cs="Arial"/>
                <w:bCs/>
                <w:color w:val="333333"/>
                <w:sz w:val="22"/>
                <w:szCs w:val="22"/>
                <w:shd w:val="clear" w:color="auto" w:fill="FFFFFF"/>
              </w:rPr>
              <w:t>.</w:t>
            </w:r>
          </w:p>
          <w:p w14:paraId="1F1D86AC" w14:textId="77777777" w:rsidR="008C3A50" w:rsidRPr="00594C6E" w:rsidRDefault="008C3A50" w:rsidP="0001350A">
            <w:pPr>
              <w:jc w:val="both"/>
              <w:rPr>
                <w:rFonts w:ascii="Work Sans" w:hAnsi="Work Sans" w:cs="Arial"/>
                <w:bCs/>
                <w:color w:val="333333"/>
                <w:sz w:val="22"/>
                <w:szCs w:val="22"/>
                <w:shd w:val="clear" w:color="auto" w:fill="FFFFFF"/>
              </w:rPr>
            </w:pPr>
          </w:p>
          <w:p w14:paraId="4AC43E4A" w14:textId="77777777" w:rsidR="008C3A50" w:rsidRPr="00594C6E" w:rsidRDefault="008C3A50" w:rsidP="0001350A">
            <w:pPr>
              <w:ind w:left="494" w:hanging="283"/>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3.3. Disposiciones derogas, subrogadas, modificadas, adicionadas o sustituidas.</w:t>
            </w:r>
          </w:p>
          <w:p w14:paraId="6596737F" w14:textId="77777777" w:rsidR="008C3A50" w:rsidRPr="00594C6E" w:rsidRDefault="008C3A50" w:rsidP="0001350A">
            <w:pPr>
              <w:ind w:left="494" w:hanging="283"/>
              <w:jc w:val="both"/>
              <w:rPr>
                <w:rFonts w:ascii="Work Sans" w:hAnsi="Work Sans" w:cs="Arial"/>
                <w:bCs/>
                <w:color w:val="333333"/>
                <w:sz w:val="22"/>
                <w:szCs w:val="22"/>
                <w:shd w:val="clear" w:color="auto" w:fill="FFFFFF"/>
              </w:rPr>
            </w:pPr>
          </w:p>
          <w:p w14:paraId="57D9CE70" w14:textId="735D619E" w:rsidR="008C3A50" w:rsidRPr="00594C6E" w:rsidRDefault="006F1F52" w:rsidP="0001350A">
            <w:pPr>
              <w:ind w:left="571"/>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No modifica ninguna disposición</w:t>
            </w:r>
            <w:r w:rsidR="000C6499" w:rsidRPr="00594C6E">
              <w:rPr>
                <w:rFonts w:ascii="Work Sans" w:hAnsi="Work Sans" w:cs="Arial"/>
                <w:bCs/>
                <w:color w:val="333333"/>
                <w:sz w:val="22"/>
                <w:szCs w:val="22"/>
                <w:shd w:val="clear" w:color="auto" w:fill="FFFFFF"/>
              </w:rPr>
              <w:t>.</w:t>
            </w:r>
          </w:p>
          <w:p w14:paraId="59D18FD4" w14:textId="77777777" w:rsidR="008C3A50" w:rsidRPr="00594C6E" w:rsidRDefault="008C3A50" w:rsidP="0001350A">
            <w:pPr>
              <w:ind w:left="494" w:hanging="283"/>
              <w:jc w:val="both"/>
              <w:rPr>
                <w:rFonts w:ascii="Work Sans" w:hAnsi="Work Sans" w:cs="Arial"/>
                <w:bCs/>
                <w:color w:val="333333"/>
                <w:sz w:val="22"/>
                <w:szCs w:val="22"/>
                <w:shd w:val="clear" w:color="auto" w:fill="FFFFFF"/>
              </w:rPr>
            </w:pPr>
          </w:p>
          <w:p w14:paraId="57879C7E" w14:textId="77777777" w:rsidR="008C3A50" w:rsidRPr="00594C6E" w:rsidRDefault="008C3A50" w:rsidP="0001350A">
            <w:pPr>
              <w:numPr>
                <w:ilvl w:val="1"/>
                <w:numId w:val="4"/>
              </w:numPr>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lastRenderedPageBreak/>
              <w:t>Revisión y análisis de la jurisprudencia que tenga impacto o sea relevante para la expedición del proyecto normativo (órganos de cierre de cada jurisdicción)</w:t>
            </w:r>
          </w:p>
          <w:p w14:paraId="088B7DDF" w14:textId="77777777" w:rsidR="008C3A50" w:rsidRPr="00594C6E" w:rsidRDefault="008C3A50" w:rsidP="0001350A">
            <w:pPr>
              <w:ind w:left="571"/>
              <w:jc w:val="both"/>
              <w:rPr>
                <w:rFonts w:ascii="Work Sans" w:hAnsi="Work Sans" w:cs="Arial"/>
                <w:bCs/>
                <w:color w:val="333333"/>
                <w:sz w:val="22"/>
                <w:szCs w:val="22"/>
                <w:shd w:val="clear" w:color="auto" w:fill="FFFFFF"/>
              </w:rPr>
            </w:pPr>
          </w:p>
          <w:p w14:paraId="6A687D4C" w14:textId="319A72F1" w:rsidR="008C3A50" w:rsidRPr="00594C6E" w:rsidRDefault="000C6499" w:rsidP="0001350A">
            <w:pPr>
              <w:ind w:left="571"/>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 xml:space="preserve">No se encuentra jurisprudencia relevante y pertinente desde las altas Cortes que se haya expedido en </w:t>
            </w:r>
            <w:r w:rsidR="006F1F52" w:rsidRPr="00594C6E">
              <w:rPr>
                <w:rFonts w:ascii="Work Sans" w:hAnsi="Work Sans" w:cs="Arial"/>
                <w:bCs/>
                <w:color w:val="333333"/>
                <w:sz w:val="22"/>
                <w:szCs w:val="22"/>
                <w:shd w:val="clear" w:color="auto" w:fill="FFFFFF"/>
              </w:rPr>
              <w:t xml:space="preserve">la </w:t>
            </w:r>
            <w:r w:rsidRPr="00594C6E">
              <w:rPr>
                <w:rFonts w:ascii="Work Sans" w:hAnsi="Work Sans" w:cs="Arial"/>
                <w:bCs/>
                <w:color w:val="333333"/>
                <w:sz w:val="22"/>
                <w:szCs w:val="22"/>
                <w:shd w:val="clear" w:color="auto" w:fill="FFFFFF"/>
              </w:rPr>
              <w:t xml:space="preserve">materia. </w:t>
            </w:r>
          </w:p>
          <w:p w14:paraId="459BA9AC" w14:textId="77777777" w:rsidR="008C3A50" w:rsidRPr="00594C6E" w:rsidRDefault="008C3A50" w:rsidP="0001350A">
            <w:pPr>
              <w:ind w:left="494" w:hanging="283"/>
              <w:jc w:val="both"/>
              <w:rPr>
                <w:rFonts w:ascii="Work Sans" w:hAnsi="Work Sans" w:cs="Arial"/>
                <w:bCs/>
                <w:color w:val="333333"/>
                <w:sz w:val="22"/>
                <w:szCs w:val="22"/>
                <w:shd w:val="clear" w:color="auto" w:fill="FFFFFF"/>
              </w:rPr>
            </w:pPr>
          </w:p>
          <w:p w14:paraId="7FC8F5E2" w14:textId="77777777" w:rsidR="008C3A50" w:rsidRPr="00594C6E" w:rsidRDefault="008C3A50" w:rsidP="0001350A">
            <w:pPr>
              <w:numPr>
                <w:ilvl w:val="1"/>
                <w:numId w:val="4"/>
              </w:numPr>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Circunstancias jurídicas adicionales.</w:t>
            </w:r>
          </w:p>
          <w:p w14:paraId="5B8DED77" w14:textId="77777777" w:rsidR="008C3A50" w:rsidRPr="00594C6E" w:rsidRDefault="008C3A50" w:rsidP="0001350A">
            <w:pPr>
              <w:ind w:left="571"/>
              <w:jc w:val="both"/>
              <w:rPr>
                <w:rFonts w:ascii="Work Sans" w:hAnsi="Work Sans" w:cs="Arial"/>
                <w:bCs/>
                <w:color w:val="333333"/>
                <w:sz w:val="22"/>
                <w:szCs w:val="22"/>
                <w:shd w:val="clear" w:color="auto" w:fill="FFFFFF"/>
              </w:rPr>
            </w:pPr>
          </w:p>
          <w:p w14:paraId="6EDBCC90" w14:textId="77777777" w:rsidR="008C3A50" w:rsidRPr="00594C6E" w:rsidRDefault="000C6499" w:rsidP="0001350A">
            <w:pPr>
              <w:ind w:left="571"/>
              <w:jc w:val="both"/>
              <w:rPr>
                <w:rFonts w:ascii="Work Sans" w:hAnsi="Work Sans" w:cs="Arial"/>
                <w:bCs/>
                <w:color w:val="333333"/>
                <w:sz w:val="22"/>
                <w:szCs w:val="22"/>
                <w:shd w:val="clear" w:color="auto" w:fill="FFFFFF"/>
              </w:rPr>
            </w:pPr>
            <w:r w:rsidRPr="00594C6E">
              <w:rPr>
                <w:rFonts w:ascii="Work Sans" w:hAnsi="Work Sans" w:cs="Arial"/>
                <w:bCs/>
                <w:color w:val="333333"/>
                <w:sz w:val="22"/>
                <w:szCs w:val="22"/>
                <w:shd w:val="clear" w:color="auto" w:fill="FFFFFF"/>
              </w:rPr>
              <w:t>No se señalan circunstancias jurídicas adicionales que sean relevantes</w:t>
            </w:r>
            <w:r w:rsidR="008C3A50" w:rsidRPr="00594C6E">
              <w:rPr>
                <w:rFonts w:ascii="Work Sans" w:hAnsi="Work Sans" w:cs="Arial"/>
                <w:bCs/>
                <w:color w:val="333333"/>
                <w:sz w:val="22"/>
                <w:szCs w:val="22"/>
                <w:shd w:val="clear" w:color="auto" w:fill="FFFFFF"/>
              </w:rPr>
              <w:t>.</w:t>
            </w:r>
          </w:p>
          <w:p w14:paraId="0143A475" w14:textId="77777777" w:rsidR="008C3A50" w:rsidRPr="00594C6E" w:rsidRDefault="008C3A50" w:rsidP="0001350A">
            <w:pPr>
              <w:ind w:left="211"/>
              <w:jc w:val="both"/>
              <w:rPr>
                <w:rFonts w:ascii="Work Sans" w:hAnsi="Work Sans" w:cs="Arial"/>
                <w:sz w:val="22"/>
                <w:szCs w:val="22"/>
                <w:lang w:val="es-CO" w:eastAsia="es-CO"/>
              </w:rPr>
            </w:pPr>
            <w:r w:rsidRPr="00594C6E">
              <w:rPr>
                <w:rFonts w:ascii="Work Sans" w:hAnsi="Work Sans" w:cs="Arial"/>
                <w:sz w:val="22"/>
                <w:szCs w:val="22"/>
                <w:lang w:val="es-CO" w:eastAsia="es-CO"/>
              </w:rPr>
              <w:t xml:space="preserve"> </w:t>
            </w:r>
          </w:p>
        </w:tc>
      </w:tr>
      <w:tr w:rsidR="008C3A50" w:rsidRPr="00594C6E" w14:paraId="49937E3A" w14:textId="77777777" w:rsidTr="0001350A">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84BFDC" w14:textId="77777777" w:rsidR="008C3A50" w:rsidRPr="00594C6E" w:rsidRDefault="008C3A50" w:rsidP="0001350A">
            <w:pPr>
              <w:rPr>
                <w:rFonts w:ascii="Work Sans" w:hAnsi="Work Sans" w:cs="Arial"/>
                <w:b/>
                <w:color w:val="000000"/>
                <w:sz w:val="22"/>
                <w:szCs w:val="22"/>
              </w:rPr>
            </w:pPr>
          </w:p>
          <w:p w14:paraId="34C13CD1" w14:textId="77777777" w:rsidR="008C3A50" w:rsidRPr="00594C6E" w:rsidRDefault="008C3A50" w:rsidP="0001350A">
            <w:pPr>
              <w:numPr>
                <w:ilvl w:val="0"/>
                <w:numId w:val="2"/>
              </w:numPr>
              <w:rPr>
                <w:rFonts w:ascii="Work Sans" w:hAnsi="Work Sans" w:cs="Arial"/>
                <w:b/>
                <w:color w:val="000000"/>
                <w:sz w:val="22"/>
                <w:szCs w:val="22"/>
              </w:rPr>
            </w:pPr>
            <w:r w:rsidRPr="00594C6E">
              <w:rPr>
                <w:rFonts w:ascii="Work Sans" w:hAnsi="Work Sans" w:cs="Arial"/>
                <w:b/>
                <w:color w:val="000000"/>
                <w:sz w:val="22"/>
                <w:szCs w:val="22"/>
              </w:rPr>
              <w:t xml:space="preserve">IMPACTO ECONÓMICO </w:t>
            </w:r>
            <w:r w:rsidRPr="00594C6E">
              <w:rPr>
                <w:rFonts w:ascii="Work Sans" w:hAnsi="Work Sans" w:cs="Arial"/>
                <w:color w:val="000000"/>
                <w:sz w:val="22"/>
                <w:szCs w:val="22"/>
              </w:rPr>
              <w:t>(Si se requiere)</w:t>
            </w:r>
          </w:p>
          <w:p w14:paraId="64DD597E" w14:textId="77777777" w:rsidR="00514A23" w:rsidRPr="00594C6E" w:rsidRDefault="00514A23" w:rsidP="00514A23">
            <w:pPr>
              <w:ind w:left="720"/>
              <w:rPr>
                <w:rFonts w:ascii="Work Sans" w:hAnsi="Work Sans" w:cs="Arial"/>
                <w:b/>
                <w:color w:val="000000"/>
                <w:sz w:val="22"/>
                <w:szCs w:val="22"/>
              </w:rPr>
            </w:pPr>
          </w:p>
          <w:p w14:paraId="1ABF2AC4" w14:textId="7965A5A6" w:rsidR="00514A23" w:rsidRPr="00594C6E" w:rsidRDefault="00514A23" w:rsidP="00514A23">
            <w:pPr>
              <w:ind w:left="720"/>
              <w:rPr>
                <w:rFonts w:ascii="Work Sans" w:hAnsi="Work Sans" w:cs="Arial"/>
                <w:color w:val="000000"/>
                <w:sz w:val="22"/>
                <w:szCs w:val="22"/>
              </w:rPr>
            </w:pPr>
            <w:r w:rsidRPr="00594C6E">
              <w:rPr>
                <w:rFonts w:ascii="Work Sans" w:hAnsi="Work Sans" w:cs="Arial"/>
                <w:color w:val="000000"/>
                <w:sz w:val="22"/>
                <w:szCs w:val="22"/>
              </w:rPr>
              <w:t xml:space="preserve">No hay un impacto económico para el Ministerio. </w:t>
            </w:r>
          </w:p>
          <w:p w14:paraId="608AD829" w14:textId="77777777" w:rsidR="008C3A50" w:rsidRPr="00594C6E" w:rsidRDefault="008C3A50" w:rsidP="0001350A">
            <w:pPr>
              <w:jc w:val="both"/>
              <w:rPr>
                <w:rFonts w:ascii="Work Sans" w:hAnsi="Work Sans" w:cs="Arial"/>
                <w:color w:val="808080"/>
                <w:sz w:val="22"/>
                <w:szCs w:val="22"/>
              </w:rPr>
            </w:pPr>
          </w:p>
        </w:tc>
      </w:tr>
      <w:tr w:rsidR="008C3A50" w:rsidRPr="00594C6E" w14:paraId="3F7C4FFF" w14:textId="77777777" w:rsidTr="0001350A">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5E4F09" w14:textId="77777777" w:rsidR="008C3A50" w:rsidRPr="00594C6E" w:rsidRDefault="008C3A50" w:rsidP="0001350A">
            <w:pPr>
              <w:rPr>
                <w:rFonts w:ascii="Work Sans" w:hAnsi="Work Sans" w:cs="Arial"/>
                <w:b/>
                <w:color w:val="000000"/>
                <w:sz w:val="22"/>
                <w:szCs w:val="22"/>
              </w:rPr>
            </w:pPr>
          </w:p>
          <w:p w14:paraId="4F0AEF8D" w14:textId="77777777" w:rsidR="008C3A50" w:rsidRPr="00594C6E" w:rsidRDefault="008C3A50" w:rsidP="0001350A">
            <w:pPr>
              <w:numPr>
                <w:ilvl w:val="0"/>
                <w:numId w:val="2"/>
              </w:numPr>
              <w:rPr>
                <w:rFonts w:ascii="Work Sans" w:hAnsi="Work Sans" w:cs="Arial"/>
                <w:b/>
                <w:color w:val="000000"/>
                <w:sz w:val="22"/>
                <w:szCs w:val="22"/>
              </w:rPr>
            </w:pPr>
            <w:r w:rsidRPr="00594C6E">
              <w:rPr>
                <w:rFonts w:ascii="Work Sans" w:hAnsi="Work Sans" w:cs="Arial"/>
                <w:b/>
                <w:color w:val="000000"/>
                <w:sz w:val="22"/>
                <w:szCs w:val="22"/>
              </w:rPr>
              <w:t xml:space="preserve">VIABILIDAD O DISPONIBILIDAD PRESUPUESTAL </w:t>
            </w:r>
            <w:r w:rsidRPr="00594C6E">
              <w:rPr>
                <w:rFonts w:ascii="Work Sans" w:hAnsi="Work Sans" w:cs="Arial"/>
                <w:color w:val="000000"/>
                <w:sz w:val="22"/>
                <w:szCs w:val="22"/>
              </w:rPr>
              <w:t>(Si se requiere)</w:t>
            </w:r>
          </w:p>
          <w:p w14:paraId="7194C18C" w14:textId="77777777" w:rsidR="008C3A50" w:rsidRPr="00594C6E" w:rsidRDefault="008C3A50" w:rsidP="0001350A">
            <w:pPr>
              <w:jc w:val="both"/>
              <w:rPr>
                <w:rFonts w:ascii="Work Sans" w:hAnsi="Work Sans" w:cs="Arial"/>
                <w:color w:val="808080"/>
                <w:sz w:val="22"/>
                <w:szCs w:val="22"/>
              </w:rPr>
            </w:pPr>
          </w:p>
          <w:p w14:paraId="72D20314" w14:textId="77777777" w:rsidR="008C3A50" w:rsidRPr="00594C6E" w:rsidRDefault="000C6499" w:rsidP="00220F0E">
            <w:pPr>
              <w:ind w:left="280"/>
              <w:jc w:val="both"/>
              <w:rPr>
                <w:rFonts w:ascii="Work Sans" w:hAnsi="Work Sans" w:cs="Arial"/>
                <w:sz w:val="22"/>
                <w:szCs w:val="22"/>
                <w:lang w:val="es-CO" w:eastAsia="es-CO"/>
              </w:rPr>
            </w:pPr>
            <w:r w:rsidRPr="00594C6E">
              <w:rPr>
                <w:rFonts w:ascii="Work Sans" w:hAnsi="Work Sans" w:cs="Arial"/>
                <w:sz w:val="22"/>
                <w:szCs w:val="22"/>
                <w:lang w:val="es-CO" w:eastAsia="es-CO"/>
              </w:rPr>
              <w:t xml:space="preserve">Desde el Ministerio no se requiere una disponibilidad presupuestal para atender el tema en cuestión. </w:t>
            </w:r>
          </w:p>
          <w:p w14:paraId="7DCD13C4" w14:textId="77777777" w:rsidR="008C3A50" w:rsidRPr="00594C6E" w:rsidRDefault="008C3A50" w:rsidP="0001350A">
            <w:pPr>
              <w:jc w:val="both"/>
              <w:rPr>
                <w:rFonts w:ascii="Work Sans" w:hAnsi="Work Sans" w:cs="Arial"/>
                <w:sz w:val="22"/>
                <w:szCs w:val="22"/>
                <w:lang w:eastAsia="es-CO"/>
              </w:rPr>
            </w:pPr>
          </w:p>
        </w:tc>
      </w:tr>
      <w:tr w:rsidR="008C3A50" w:rsidRPr="00594C6E" w14:paraId="638FCEAD" w14:textId="77777777" w:rsidTr="0001350A">
        <w:trPr>
          <w:trHeight w:val="1295"/>
        </w:trPr>
        <w:tc>
          <w:tcPr>
            <w:tcW w:w="10774" w:type="dxa"/>
            <w:gridSpan w:val="3"/>
            <w:tcBorders>
              <w:top w:val="single" w:sz="4" w:space="0" w:color="auto"/>
              <w:bottom w:val="single" w:sz="4" w:space="0" w:color="auto"/>
            </w:tcBorders>
            <w:shd w:val="clear" w:color="auto" w:fill="FFFFFF"/>
            <w:vAlign w:val="center"/>
          </w:tcPr>
          <w:p w14:paraId="1F15C4FA" w14:textId="77777777" w:rsidR="008C3A50" w:rsidRPr="00594C6E" w:rsidRDefault="008C3A50" w:rsidP="0001350A">
            <w:pPr>
              <w:numPr>
                <w:ilvl w:val="0"/>
                <w:numId w:val="2"/>
              </w:numPr>
              <w:jc w:val="both"/>
              <w:rPr>
                <w:rFonts w:ascii="Work Sans" w:hAnsi="Work Sans" w:cs="Arial"/>
                <w:b/>
                <w:color w:val="000000"/>
                <w:sz w:val="22"/>
                <w:szCs w:val="22"/>
              </w:rPr>
            </w:pPr>
            <w:r w:rsidRPr="00594C6E">
              <w:rPr>
                <w:rFonts w:ascii="Work Sans" w:hAnsi="Work Sans" w:cs="Arial"/>
                <w:b/>
                <w:color w:val="000000"/>
                <w:sz w:val="22"/>
                <w:szCs w:val="22"/>
              </w:rPr>
              <w:t xml:space="preserve"> IMPACTO MEDIOAMBIENTAL O SOBRE EL PATRIMONIO CULTURAL DE LA NACIÓN </w:t>
            </w:r>
            <w:r w:rsidRPr="00594C6E">
              <w:rPr>
                <w:rFonts w:ascii="Work Sans" w:hAnsi="Work Sans" w:cs="Arial"/>
                <w:color w:val="000000"/>
                <w:sz w:val="22"/>
                <w:szCs w:val="22"/>
              </w:rPr>
              <w:t>(Si se requiere)</w:t>
            </w:r>
          </w:p>
          <w:p w14:paraId="21326E68" w14:textId="77777777" w:rsidR="008C3A50" w:rsidRPr="00594C6E" w:rsidRDefault="008C3A50" w:rsidP="0001350A">
            <w:pPr>
              <w:ind w:left="720"/>
              <w:jc w:val="both"/>
              <w:rPr>
                <w:rFonts w:ascii="Work Sans" w:hAnsi="Work Sans" w:cs="Arial"/>
                <w:b/>
                <w:color w:val="000000"/>
                <w:sz w:val="22"/>
                <w:szCs w:val="22"/>
              </w:rPr>
            </w:pPr>
          </w:p>
          <w:p w14:paraId="4B90D8B3" w14:textId="77777777" w:rsidR="00514A23" w:rsidRPr="00594C6E" w:rsidRDefault="000C6499" w:rsidP="006F1F52">
            <w:pPr>
              <w:ind w:left="421"/>
              <w:jc w:val="both"/>
              <w:rPr>
                <w:rFonts w:ascii="Work Sans" w:hAnsi="Work Sans" w:cs="Arial"/>
                <w:sz w:val="22"/>
                <w:szCs w:val="22"/>
                <w:lang w:val="es-CO" w:eastAsia="es-CO"/>
              </w:rPr>
            </w:pPr>
            <w:r w:rsidRPr="00594C6E">
              <w:rPr>
                <w:rFonts w:ascii="Work Sans" w:hAnsi="Work Sans" w:cs="Arial"/>
                <w:sz w:val="22"/>
                <w:szCs w:val="22"/>
                <w:lang w:val="es-CO" w:eastAsia="es-CO"/>
              </w:rPr>
              <w:t xml:space="preserve">Hay un impacto positivo sobre el patrimonio cultural, en la medida en que </w:t>
            </w:r>
            <w:r w:rsidR="00866BC1" w:rsidRPr="00594C6E">
              <w:rPr>
                <w:rFonts w:ascii="Work Sans" w:hAnsi="Work Sans" w:cs="Arial"/>
                <w:sz w:val="22"/>
                <w:szCs w:val="22"/>
                <w:lang w:val="es-CO" w:eastAsia="es-CO"/>
              </w:rPr>
              <w:t xml:space="preserve">se facilita </w:t>
            </w:r>
            <w:r w:rsidR="000A0FC4" w:rsidRPr="00594C6E">
              <w:rPr>
                <w:rFonts w:ascii="Work Sans" w:hAnsi="Work Sans" w:cs="Arial"/>
                <w:sz w:val="22"/>
                <w:szCs w:val="22"/>
                <w:lang w:val="es-CO" w:eastAsia="es-CO"/>
              </w:rPr>
              <w:t xml:space="preserve">e incentiva </w:t>
            </w:r>
            <w:r w:rsidR="00866BC1" w:rsidRPr="00594C6E">
              <w:rPr>
                <w:rFonts w:ascii="Work Sans" w:hAnsi="Work Sans" w:cs="Arial"/>
                <w:sz w:val="22"/>
                <w:szCs w:val="22"/>
                <w:lang w:val="es-CO" w:eastAsia="es-CO"/>
              </w:rPr>
              <w:t xml:space="preserve">a los productores permanentes </w:t>
            </w:r>
            <w:r w:rsidR="006F1F52" w:rsidRPr="00594C6E">
              <w:rPr>
                <w:rFonts w:ascii="Work Sans" w:hAnsi="Work Sans" w:cs="Arial"/>
                <w:sz w:val="22"/>
                <w:szCs w:val="22"/>
                <w:lang w:val="es-CO" w:eastAsia="es-CO"/>
              </w:rPr>
              <w:t>la realización de espectáculos públicos de las artes escénicas</w:t>
            </w:r>
            <w:r w:rsidRPr="00594C6E">
              <w:rPr>
                <w:rFonts w:ascii="Work Sans" w:hAnsi="Work Sans" w:cs="Arial"/>
                <w:sz w:val="22"/>
                <w:szCs w:val="22"/>
                <w:lang w:val="es-CO" w:eastAsia="es-CO"/>
              </w:rPr>
              <w:t>.</w:t>
            </w:r>
          </w:p>
          <w:p w14:paraId="09D5A10B" w14:textId="0ED62D90" w:rsidR="000C6499" w:rsidRPr="00594C6E" w:rsidRDefault="000C6499" w:rsidP="006F1F52">
            <w:pPr>
              <w:ind w:left="421"/>
              <w:jc w:val="both"/>
              <w:rPr>
                <w:rFonts w:ascii="Work Sans" w:hAnsi="Work Sans" w:cs="Arial"/>
                <w:color w:val="808080"/>
                <w:sz w:val="22"/>
                <w:szCs w:val="22"/>
              </w:rPr>
            </w:pPr>
            <w:r w:rsidRPr="00594C6E">
              <w:rPr>
                <w:rFonts w:ascii="Work Sans" w:hAnsi="Work Sans" w:cs="Arial"/>
                <w:color w:val="808080"/>
                <w:sz w:val="22"/>
                <w:szCs w:val="22"/>
              </w:rPr>
              <w:t xml:space="preserve">  </w:t>
            </w:r>
          </w:p>
        </w:tc>
      </w:tr>
      <w:tr w:rsidR="008C3A50" w:rsidRPr="00594C6E" w14:paraId="07139C13" w14:textId="77777777" w:rsidTr="0001350A">
        <w:trPr>
          <w:trHeight w:val="317"/>
        </w:trPr>
        <w:tc>
          <w:tcPr>
            <w:tcW w:w="10774" w:type="dxa"/>
            <w:gridSpan w:val="3"/>
            <w:tcBorders>
              <w:top w:val="single" w:sz="4" w:space="0" w:color="auto"/>
              <w:bottom w:val="single" w:sz="4" w:space="0" w:color="auto"/>
            </w:tcBorders>
            <w:shd w:val="clear" w:color="auto" w:fill="FFFFFF"/>
            <w:vAlign w:val="center"/>
          </w:tcPr>
          <w:p w14:paraId="1EF8BF15" w14:textId="77777777" w:rsidR="008C3A50" w:rsidRPr="00594C6E" w:rsidRDefault="008C3A50" w:rsidP="0001350A">
            <w:pPr>
              <w:numPr>
                <w:ilvl w:val="0"/>
                <w:numId w:val="2"/>
              </w:numPr>
              <w:jc w:val="both"/>
              <w:rPr>
                <w:rFonts w:ascii="Work Sans" w:hAnsi="Work Sans" w:cs="Arial"/>
                <w:sz w:val="22"/>
                <w:szCs w:val="22"/>
              </w:rPr>
            </w:pPr>
            <w:r w:rsidRPr="00594C6E">
              <w:rPr>
                <w:rFonts w:ascii="Work Sans" w:hAnsi="Work Sans" w:cs="Arial"/>
                <w:b/>
                <w:sz w:val="22"/>
                <w:szCs w:val="22"/>
              </w:rPr>
              <w:t>ESTUDIOS TÉCNICOS QUE SUSTENTEN EL PROYECTO NORMATIVO</w:t>
            </w:r>
            <w:r w:rsidRPr="00594C6E">
              <w:rPr>
                <w:rFonts w:ascii="Work Sans" w:hAnsi="Work Sans" w:cs="Arial"/>
                <w:sz w:val="22"/>
                <w:szCs w:val="22"/>
              </w:rPr>
              <w:t xml:space="preserve"> </w:t>
            </w:r>
          </w:p>
          <w:p w14:paraId="47C74240" w14:textId="77777777" w:rsidR="008C3A50" w:rsidRPr="00594C6E" w:rsidRDefault="008C3A50" w:rsidP="0001350A">
            <w:pPr>
              <w:ind w:left="360"/>
              <w:jc w:val="both"/>
              <w:rPr>
                <w:rFonts w:ascii="Work Sans" w:hAnsi="Work Sans" w:cs="Arial"/>
                <w:sz w:val="22"/>
                <w:szCs w:val="22"/>
              </w:rPr>
            </w:pPr>
          </w:p>
          <w:p w14:paraId="40B930C1" w14:textId="4788333C" w:rsidR="008C3A50" w:rsidRPr="00594C6E" w:rsidRDefault="000C6499" w:rsidP="0059003F">
            <w:pPr>
              <w:ind w:left="360"/>
              <w:jc w:val="both"/>
              <w:rPr>
                <w:rFonts w:ascii="Work Sans" w:hAnsi="Work Sans" w:cs="Arial"/>
                <w:sz w:val="22"/>
                <w:szCs w:val="22"/>
              </w:rPr>
            </w:pPr>
            <w:r w:rsidRPr="00594C6E">
              <w:rPr>
                <w:rFonts w:ascii="Work Sans" w:hAnsi="Work Sans" w:cs="Arial"/>
                <w:sz w:val="22"/>
                <w:szCs w:val="22"/>
              </w:rPr>
              <w:t xml:space="preserve">El </w:t>
            </w:r>
            <w:r w:rsidR="0059003F" w:rsidRPr="00594C6E">
              <w:rPr>
                <w:rFonts w:ascii="Work Sans" w:hAnsi="Work Sans" w:cs="Arial"/>
                <w:sz w:val="22"/>
                <w:szCs w:val="22"/>
              </w:rPr>
              <w:t xml:space="preserve">Grupo de Ley de Espectáculos públicos </w:t>
            </w:r>
            <w:r w:rsidR="008C3A50" w:rsidRPr="00594C6E">
              <w:rPr>
                <w:rFonts w:ascii="Work Sans" w:hAnsi="Work Sans" w:cs="Arial"/>
                <w:sz w:val="22"/>
                <w:szCs w:val="22"/>
              </w:rPr>
              <w:t xml:space="preserve">analizó la conveniencia </w:t>
            </w:r>
            <w:r w:rsidR="0059003F" w:rsidRPr="00594C6E">
              <w:rPr>
                <w:rFonts w:ascii="Work Sans" w:hAnsi="Work Sans" w:cs="Arial"/>
                <w:sz w:val="22"/>
                <w:szCs w:val="22"/>
              </w:rPr>
              <w:t xml:space="preserve">y necesidad </w:t>
            </w:r>
            <w:r w:rsidR="008C3A50" w:rsidRPr="00594C6E">
              <w:rPr>
                <w:rFonts w:ascii="Work Sans" w:hAnsi="Work Sans" w:cs="Arial"/>
                <w:sz w:val="22"/>
                <w:szCs w:val="22"/>
              </w:rPr>
              <w:t xml:space="preserve">de </w:t>
            </w:r>
            <w:r w:rsidR="0059003F" w:rsidRPr="00594C6E">
              <w:rPr>
                <w:rFonts w:ascii="Work Sans" w:hAnsi="Work Sans" w:cs="Arial"/>
                <w:sz w:val="22"/>
                <w:szCs w:val="22"/>
              </w:rPr>
              <w:t>mantener transitoriamente la clasificación que tenían los productores</w:t>
            </w:r>
            <w:r w:rsidR="00F17AC0" w:rsidRPr="00594C6E">
              <w:rPr>
                <w:rFonts w:ascii="Work Sans" w:hAnsi="Work Sans" w:cs="Arial"/>
                <w:sz w:val="22"/>
                <w:szCs w:val="22"/>
              </w:rPr>
              <w:t xml:space="preserve"> permanente</w:t>
            </w:r>
            <w:r w:rsidR="009F6CDA" w:rsidRPr="00594C6E">
              <w:rPr>
                <w:rFonts w:ascii="Work Sans" w:hAnsi="Work Sans" w:cs="Arial"/>
                <w:sz w:val="22"/>
                <w:szCs w:val="22"/>
              </w:rPr>
              <w:t>s</w:t>
            </w:r>
            <w:r w:rsidR="0059003F" w:rsidRPr="00594C6E">
              <w:rPr>
                <w:rFonts w:ascii="Work Sans" w:hAnsi="Work Sans" w:cs="Arial"/>
                <w:sz w:val="22"/>
                <w:szCs w:val="22"/>
              </w:rPr>
              <w:t xml:space="preserve"> para la fecha de expedición del </w:t>
            </w:r>
            <w:r w:rsidR="0059003F" w:rsidRPr="00594C6E">
              <w:rPr>
                <w:rFonts w:ascii="Work Sans" w:hAnsi="Work Sans" w:cs="Arial"/>
                <w:color w:val="000000" w:themeColor="text1"/>
                <w:sz w:val="22"/>
                <w:szCs w:val="22"/>
              </w:rPr>
              <w:t>Decreto 417 de 17 de marzo de 2020</w:t>
            </w:r>
            <w:r w:rsidR="008C3A50" w:rsidRPr="00594C6E">
              <w:rPr>
                <w:rFonts w:ascii="Work Sans" w:hAnsi="Work Sans" w:cs="Arial"/>
                <w:sz w:val="22"/>
                <w:szCs w:val="22"/>
              </w:rPr>
              <w:t xml:space="preserve">. </w:t>
            </w:r>
          </w:p>
          <w:p w14:paraId="1B903A27" w14:textId="77777777" w:rsidR="008C3A50" w:rsidRPr="00594C6E" w:rsidRDefault="008C3A50" w:rsidP="0001350A">
            <w:pPr>
              <w:ind w:left="360"/>
              <w:jc w:val="both"/>
              <w:rPr>
                <w:rFonts w:ascii="Work Sans" w:hAnsi="Work Sans" w:cs="Arial"/>
                <w:sz w:val="22"/>
                <w:szCs w:val="22"/>
              </w:rPr>
            </w:pPr>
          </w:p>
        </w:tc>
      </w:tr>
      <w:tr w:rsidR="008C3A50" w:rsidRPr="00594C6E" w14:paraId="2AF274B9" w14:textId="77777777" w:rsidTr="0001350A">
        <w:trPr>
          <w:trHeight w:val="66"/>
        </w:trPr>
        <w:tc>
          <w:tcPr>
            <w:tcW w:w="10774" w:type="dxa"/>
            <w:gridSpan w:val="3"/>
            <w:tcBorders>
              <w:top w:val="single" w:sz="4" w:space="0" w:color="auto"/>
              <w:bottom w:val="single" w:sz="4" w:space="0" w:color="auto"/>
            </w:tcBorders>
            <w:shd w:val="clear" w:color="auto" w:fill="FFFFFF"/>
            <w:vAlign w:val="center"/>
          </w:tcPr>
          <w:p w14:paraId="16573755" w14:textId="77777777" w:rsidR="008C3A50" w:rsidRPr="00594C6E" w:rsidRDefault="008C3A50" w:rsidP="0001350A">
            <w:pPr>
              <w:ind w:right="140"/>
              <w:jc w:val="both"/>
              <w:rPr>
                <w:rFonts w:ascii="Work Sans" w:hAnsi="Work Sans" w:cs="Arial"/>
                <w:sz w:val="22"/>
                <w:szCs w:val="22"/>
                <w:lang w:val="es-CO" w:eastAsia="es-CO"/>
              </w:rPr>
            </w:pPr>
          </w:p>
        </w:tc>
      </w:tr>
      <w:tr w:rsidR="008C3A50" w:rsidRPr="00594C6E" w14:paraId="3FB3BAA8" w14:textId="77777777" w:rsidTr="0001350A">
        <w:trPr>
          <w:trHeight w:val="416"/>
        </w:trPr>
        <w:tc>
          <w:tcPr>
            <w:tcW w:w="10774" w:type="dxa"/>
            <w:gridSpan w:val="3"/>
            <w:tcBorders>
              <w:top w:val="single" w:sz="4" w:space="0" w:color="auto"/>
              <w:bottom w:val="single" w:sz="4" w:space="0" w:color="auto"/>
            </w:tcBorders>
            <w:shd w:val="clear" w:color="auto" w:fill="5B8AFF"/>
            <w:vAlign w:val="center"/>
          </w:tcPr>
          <w:p w14:paraId="3274A391" w14:textId="77777777" w:rsidR="008C3A50" w:rsidRPr="00594C6E" w:rsidRDefault="008C3A50" w:rsidP="0001350A">
            <w:pPr>
              <w:jc w:val="center"/>
              <w:rPr>
                <w:rFonts w:ascii="Work Sans" w:hAnsi="Work Sans" w:cs="Arial"/>
                <w:color w:val="FFFFFF"/>
                <w:sz w:val="22"/>
                <w:szCs w:val="22"/>
              </w:rPr>
            </w:pPr>
            <w:r w:rsidRPr="00594C6E">
              <w:rPr>
                <w:rFonts w:ascii="Work Sans" w:hAnsi="Work Sans" w:cs="Arial"/>
                <w:b/>
                <w:color w:val="FFFFFF"/>
                <w:sz w:val="22"/>
                <w:szCs w:val="22"/>
              </w:rPr>
              <w:t>ANEXOS:</w:t>
            </w:r>
            <w:r w:rsidRPr="00594C6E">
              <w:rPr>
                <w:rFonts w:ascii="Work Sans" w:hAnsi="Work Sans" w:cs="Arial"/>
                <w:color w:val="FFFFFF"/>
                <w:sz w:val="22"/>
                <w:szCs w:val="22"/>
              </w:rPr>
              <w:t xml:space="preserve"> </w:t>
            </w:r>
          </w:p>
        </w:tc>
      </w:tr>
      <w:tr w:rsidR="008C3A50" w:rsidRPr="00594C6E" w14:paraId="38224771" w14:textId="77777777" w:rsidTr="0001350A">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0C95B9" w14:textId="77777777" w:rsidR="008C3A50" w:rsidRPr="00594C6E" w:rsidRDefault="008C3A50" w:rsidP="0001350A">
            <w:pPr>
              <w:jc w:val="both"/>
              <w:rPr>
                <w:rFonts w:ascii="Work Sans" w:hAnsi="Work Sans" w:cs="Arial"/>
                <w:sz w:val="22"/>
                <w:szCs w:val="22"/>
              </w:rPr>
            </w:pPr>
            <w:r w:rsidRPr="00594C6E">
              <w:rPr>
                <w:rFonts w:ascii="Work Sans" w:hAnsi="Work Sans" w:cs="Arial"/>
                <w:sz w:val="22"/>
                <w:szCs w:val="22"/>
              </w:rPr>
              <w:t xml:space="preserve">Certificación de cumplimiento de requisitos de consulta, publicidad y de incorporación en la agenda regulatoria </w:t>
            </w:r>
          </w:p>
          <w:p w14:paraId="16D8BA1E" w14:textId="77777777" w:rsidR="008C3A50" w:rsidRPr="00594C6E" w:rsidRDefault="008C3A50" w:rsidP="0001350A">
            <w:pPr>
              <w:jc w:val="both"/>
              <w:rPr>
                <w:rFonts w:ascii="Work Sans" w:hAnsi="Work Sans" w:cs="Arial"/>
                <w:i/>
                <w:color w:val="808080"/>
                <w:sz w:val="22"/>
                <w:szCs w:val="22"/>
              </w:rPr>
            </w:pPr>
            <w:r w:rsidRPr="00594C6E">
              <w:rPr>
                <w:rFonts w:ascii="Work Sans" w:hAnsi="Work Sans"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1368D78F" w14:textId="77777777" w:rsidR="008C3A50" w:rsidRPr="00594C6E" w:rsidRDefault="008C3A50" w:rsidP="0001350A">
            <w:pPr>
              <w:jc w:val="both"/>
              <w:rPr>
                <w:rFonts w:ascii="Work Sans" w:hAnsi="Work Sans" w:cs="Arial"/>
                <w:color w:val="808080"/>
                <w:sz w:val="22"/>
                <w:szCs w:val="22"/>
              </w:rPr>
            </w:pPr>
            <w:r w:rsidRPr="00594C6E">
              <w:rPr>
                <w:rFonts w:ascii="Work Sans" w:hAnsi="Work Sans" w:cs="Arial"/>
                <w:color w:val="808080"/>
                <w:sz w:val="22"/>
                <w:szCs w:val="22"/>
              </w:rPr>
              <w:t>x</w:t>
            </w:r>
          </w:p>
        </w:tc>
      </w:tr>
      <w:tr w:rsidR="008C3A50" w:rsidRPr="00594C6E" w14:paraId="051329EF" w14:textId="77777777" w:rsidTr="0001350A">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61B8043" w14:textId="77777777" w:rsidR="008C3A50" w:rsidRPr="00594C6E" w:rsidRDefault="008C3A50" w:rsidP="0001350A">
            <w:pPr>
              <w:jc w:val="both"/>
              <w:rPr>
                <w:rFonts w:ascii="Work Sans" w:hAnsi="Work Sans" w:cs="Arial"/>
                <w:sz w:val="22"/>
                <w:szCs w:val="22"/>
              </w:rPr>
            </w:pPr>
            <w:r w:rsidRPr="00594C6E">
              <w:rPr>
                <w:rFonts w:ascii="Work Sans" w:hAnsi="Work Sans" w:cs="Arial"/>
                <w:sz w:val="22"/>
                <w:szCs w:val="22"/>
              </w:rPr>
              <w:t>Concepto(s) de Ministerio de Comercio, Industria y Turismo</w:t>
            </w:r>
          </w:p>
          <w:p w14:paraId="38144562" w14:textId="77777777" w:rsidR="008C3A50" w:rsidRPr="00594C6E" w:rsidRDefault="008C3A50" w:rsidP="0001350A">
            <w:pPr>
              <w:jc w:val="both"/>
              <w:rPr>
                <w:rFonts w:ascii="Work Sans" w:hAnsi="Work Sans" w:cs="Arial"/>
                <w:i/>
                <w:color w:val="808080"/>
                <w:sz w:val="22"/>
                <w:szCs w:val="22"/>
              </w:rPr>
            </w:pPr>
            <w:r w:rsidRPr="00594C6E">
              <w:rPr>
                <w:rFonts w:ascii="Work Sans" w:hAnsi="Work Sans"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7CB69F88" w14:textId="77777777" w:rsidR="008C3A50" w:rsidRPr="00594C6E" w:rsidRDefault="008C3A50" w:rsidP="0001350A">
            <w:pPr>
              <w:jc w:val="both"/>
              <w:rPr>
                <w:rFonts w:ascii="Work Sans" w:hAnsi="Work Sans" w:cs="Arial"/>
                <w:sz w:val="22"/>
                <w:szCs w:val="22"/>
              </w:rPr>
            </w:pPr>
            <w:r w:rsidRPr="00594C6E">
              <w:rPr>
                <w:rFonts w:ascii="Work Sans" w:hAnsi="Work Sans" w:cs="Arial"/>
                <w:color w:val="808080"/>
                <w:sz w:val="22"/>
                <w:szCs w:val="22"/>
              </w:rPr>
              <w:t>N.A.</w:t>
            </w:r>
          </w:p>
        </w:tc>
      </w:tr>
      <w:tr w:rsidR="008C3A50" w:rsidRPr="00594C6E" w14:paraId="576451A9" w14:textId="77777777" w:rsidTr="0001350A">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B3C5D50" w14:textId="77777777" w:rsidR="008C3A50" w:rsidRPr="00594C6E" w:rsidRDefault="008C3A50" w:rsidP="0001350A">
            <w:pPr>
              <w:jc w:val="both"/>
              <w:rPr>
                <w:rFonts w:ascii="Work Sans" w:hAnsi="Work Sans" w:cs="Arial"/>
                <w:sz w:val="22"/>
                <w:szCs w:val="22"/>
              </w:rPr>
            </w:pPr>
            <w:r w:rsidRPr="00594C6E">
              <w:rPr>
                <w:rFonts w:ascii="Work Sans" w:hAnsi="Work Sans" w:cs="Arial"/>
                <w:sz w:val="22"/>
                <w:szCs w:val="22"/>
              </w:rPr>
              <w:t xml:space="preserve">Informe de observaciones y respuestas </w:t>
            </w:r>
          </w:p>
          <w:p w14:paraId="65D49556" w14:textId="77777777" w:rsidR="008C3A50" w:rsidRPr="00594C6E" w:rsidRDefault="008C3A50" w:rsidP="0001350A">
            <w:pPr>
              <w:jc w:val="both"/>
              <w:rPr>
                <w:rFonts w:ascii="Work Sans" w:hAnsi="Work Sans" w:cs="Arial"/>
                <w:i/>
                <w:color w:val="808080"/>
                <w:sz w:val="22"/>
                <w:szCs w:val="22"/>
              </w:rPr>
            </w:pPr>
            <w:r w:rsidRPr="00594C6E">
              <w:rPr>
                <w:rFonts w:ascii="Work Sans" w:hAnsi="Work Sans"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2771E4D4" w14:textId="77777777" w:rsidR="008C3A50" w:rsidRPr="00594C6E" w:rsidRDefault="008C3A50" w:rsidP="0001350A">
            <w:pPr>
              <w:jc w:val="both"/>
              <w:rPr>
                <w:rFonts w:ascii="Work Sans" w:hAnsi="Work Sans" w:cs="Arial"/>
                <w:sz w:val="22"/>
                <w:szCs w:val="22"/>
              </w:rPr>
            </w:pPr>
            <w:r w:rsidRPr="00594C6E">
              <w:rPr>
                <w:rFonts w:ascii="Work Sans" w:hAnsi="Work Sans" w:cs="Arial"/>
                <w:color w:val="808080"/>
                <w:sz w:val="22"/>
                <w:szCs w:val="22"/>
              </w:rPr>
              <w:t>x</w:t>
            </w:r>
          </w:p>
        </w:tc>
      </w:tr>
      <w:tr w:rsidR="008C3A50" w:rsidRPr="00594C6E" w14:paraId="3C178007" w14:textId="77777777" w:rsidTr="0001350A">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E9DA686" w14:textId="77777777" w:rsidR="008C3A50" w:rsidRPr="00594C6E" w:rsidRDefault="008C3A50" w:rsidP="0001350A">
            <w:pPr>
              <w:jc w:val="both"/>
              <w:rPr>
                <w:rFonts w:ascii="Work Sans" w:hAnsi="Work Sans" w:cs="Arial"/>
                <w:sz w:val="22"/>
                <w:szCs w:val="22"/>
              </w:rPr>
            </w:pPr>
            <w:r w:rsidRPr="00594C6E">
              <w:rPr>
                <w:rFonts w:ascii="Work Sans" w:hAnsi="Work Sans" w:cs="Arial"/>
                <w:sz w:val="22"/>
                <w:szCs w:val="22"/>
              </w:rPr>
              <w:t>Concepto de Abogacía de la Competencia de la Superintendencia de Industria y Comercio</w:t>
            </w:r>
          </w:p>
          <w:p w14:paraId="410A2C42" w14:textId="77777777" w:rsidR="008C3A50" w:rsidRPr="00594C6E" w:rsidRDefault="008C3A50" w:rsidP="0001350A">
            <w:pPr>
              <w:jc w:val="both"/>
              <w:rPr>
                <w:rFonts w:ascii="Work Sans" w:hAnsi="Work Sans" w:cs="Arial"/>
                <w:i/>
                <w:color w:val="808080"/>
                <w:sz w:val="22"/>
                <w:szCs w:val="22"/>
              </w:rPr>
            </w:pPr>
            <w:r w:rsidRPr="00594C6E">
              <w:rPr>
                <w:rFonts w:ascii="Work Sans" w:hAnsi="Work Sans" w:cs="Arial"/>
                <w:i/>
                <w:color w:val="808080"/>
                <w:sz w:val="22"/>
                <w:szCs w:val="22"/>
              </w:rPr>
              <w:lastRenderedPageBreak/>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3E50C80D" w14:textId="77777777" w:rsidR="008C3A50" w:rsidRPr="00594C6E" w:rsidRDefault="008C3A50" w:rsidP="0001350A">
            <w:pPr>
              <w:jc w:val="both"/>
              <w:rPr>
                <w:rFonts w:ascii="Work Sans" w:hAnsi="Work Sans" w:cs="Arial"/>
                <w:sz w:val="22"/>
                <w:szCs w:val="22"/>
              </w:rPr>
            </w:pPr>
            <w:r w:rsidRPr="00594C6E">
              <w:rPr>
                <w:rFonts w:ascii="Work Sans" w:hAnsi="Work Sans" w:cs="Arial"/>
                <w:color w:val="808080"/>
                <w:sz w:val="22"/>
                <w:szCs w:val="22"/>
              </w:rPr>
              <w:lastRenderedPageBreak/>
              <w:t>N.A</w:t>
            </w:r>
          </w:p>
        </w:tc>
      </w:tr>
      <w:tr w:rsidR="008C3A50" w:rsidRPr="00594C6E" w14:paraId="6F86DF75" w14:textId="77777777" w:rsidTr="0001350A">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C975632" w14:textId="77777777" w:rsidR="008C3A50" w:rsidRPr="00594C6E" w:rsidRDefault="008C3A50" w:rsidP="0001350A">
            <w:pPr>
              <w:jc w:val="both"/>
              <w:rPr>
                <w:rFonts w:ascii="Work Sans" w:hAnsi="Work Sans" w:cs="Arial"/>
                <w:sz w:val="22"/>
                <w:szCs w:val="22"/>
              </w:rPr>
            </w:pPr>
            <w:r w:rsidRPr="00594C6E">
              <w:rPr>
                <w:rFonts w:ascii="Work Sans" w:hAnsi="Work Sans" w:cs="Arial"/>
                <w:sz w:val="22"/>
                <w:szCs w:val="22"/>
              </w:rPr>
              <w:lastRenderedPageBreak/>
              <w:t>Concepto de aprobación nuevos trámites del Departamento Administrativo de la Función Pública</w:t>
            </w:r>
          </w:p>
          <w:p w14:paraId="04D2AB36" w14:textId="77777777" w:rsidR="008C3A50" w:rsidRPr="00594C6E" w:rsidRDefault="008C3A50" w:rsidP="0001350A">
            <w:pPr>
              <w:jc w:val="both"/>
              <w:rPr>
                <w:rFonts w:ascii="Work Sans" w:hAnsi="Work Sans" w:cs="Arial"/>
                <w:sz w:val="22"/>
                <w:szCs w:val="22"/>
              </w:rPr>
            </w:pPr>
            <w:r w:rsidRPr="00594C6E">
              <w:rPr>
                <w:rFonts w:ascii="Work Sans" w:hAnsi="Work Sans"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0FEF197" w14:textId="77777777" w:rsidR="008C3A50" w:rsidRPr="00594C6E" w:rsidRDefault="008C3A50" w:rsidP="0001350A">
            <w:pPr>
              <w:jc w:val="both"/>
              <w:rPr>
                <w:rFonts w:ascii="Work Sans" w:hAnsi="Work Sans" w:cs="Arial"/>
                <w:sz w:val="22"/>
                <w:szCs w:val="22"/>
              </w:rPr>
            </w:pPr>
            <w:r w:rsidRPr="00594C6E">
              <w:rPr>
                <w:rFonts w:ascii="Work Sans" w:hAnsi="Work Sans" w:cs="Arial"/>
                <w:color w:val="808080"/>
                <w:sz w:val="22"/>
                <w:szCs w:val="22"/>
              </w:rPr>
              <w:t>N.A</w:t>
            </w:r>
          </w:p>
        </w:tc>
      </w:tr>
      <w:tr w:rsidR="008C3A50" w:rsidRPr="00594C6E" w14:paraId="07CCD9C3" w14:textId="77777777" w:rsidTr="0001350A">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4376EC9" w14:textId="77777777" w:rsidR="008C3A50" w:rsidRPr="00594C6E" w:rsidRDefault="008C3A50" w:rsidP="0001350A">
            <w:pPr>
              <w:jc w:val="both"/>
              <w:rPr>
                <w:rFonts w:ascii="Work Sans" w:hAnsi="Work Sans" w:cs="Arial"/>
                <w:sz w:val="22"/>
                <w:szCs w:val="22"/>
              </w:rPr>
            </w:pPr>
            <w:r w:rsidRPr="00594C6E">
              <w:rPr>
                <w:rFonts w:ascii="Work Sans" w:hAnsi="Work Sans" w:cs="Arial"/>
                <w:sz w:val="22"/>
                <w:szCs w:val="22"/>
              </w:rPr>
              <w:t xml:space="preserve">Otro </w:t>
            </w:r>
          </w:p>
          <w:p w14:paraId="7DA1E26B" w14:textId="77777777" w:rsidR="008C3A50" w:rsidRPr="00594C6E" w:rsidRDefault="008C3A50" w:rsidP="0001350A">
            <w:pPr>
              <w:jc w:val="both"/>
              <w:rPr>
                <w:rFonts w:ascii="Work Sans" w:hAnsi="Work Sans" w:cs="Arial"/>
                <w:sz w:val="22"/>
                <w:szCs w:val="22"/>
              </w:rPr>
            </w:pPr>
            <w:r w:rsidRPr="00594C6E">
              <w:rPr>
                <w:rFonts w:ascii="Work Sans" w:hAnsi="Work Sans" w:cs="Arial"/>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46781510" w14:textId="77777777" w:rsidR="008C3A50" w:rsidRPr="00594C6E" w:rsidRDefault="008C3A50" w:rsidP="0001350A">
            <w:pPr>
              <w:jc w:val="both"/>
              <w:rPr>
                <w:rFonts w:ascii="Work Sans" w:hAnsi="Work Sans" w:cs="Arial"/>
                <w:sz w:val="22"/>
                <w:szCs w:val="22"/>
              </w:rPr>
            </w:pPr>
            <w:r w:rsidRPr="00594C6E">
              <w:rPr>
                <w:rFonts w:ascii="Work Sans" w:hAnsi="Work Sans" w:cs="Arial"/>
                <w:color w:val="808080"/>
                <w:sz w:val="22"/>
                <w:szCs w:val="22"/>
              </w:rPr>
              <w:t xml:space="preserve">No se visualizan otros aspectos. </w:t>
            </w:r>
          </w:p>
        </w:tc>
      </w:tr>
    </w:tbl>
    <w:p w14:paraId="58CAC43D" w14:textId="77777777" w:rsidR="008C3A50" w:rsidRPr="00594C6E" w:rsidRDefault="008C3A50" w:rsidP="008C3A50">
      <w:pPr>
        <w:ind w:right="-377"/>
        <w:jc w:val="both"/>
        <w:rPr>
          <w:rFonts w:ascii="Work Sans" w:hAnsi="Work Sans" w:cs="Arial"/>
          <w:sz w:val="22"/>
          <w:szCs w:val="22"/>
        </w:rPr>
      </w:pPr>
    </w:p>
    <w:p w14:paraId="75D72D0D" w14:textId="77777777" w:rsidR="008C3A50" w:rsidRPr="00594C6E" w:rsidRDefault="008C3A50" w:rsidP="008C3A50">
      <w:pPr>
        <w:ind w:left="-1276" w:right="-377" w:firstLine="283"/>
        <w:jc w:val="both"/>
        <w:rPr>
          <w:rFonts w:ascii="Work Sans" w:hAnsi="Work Sans" w:cs="Arial"/>
          <w:sz w:val="22"/>
          <w:szCs w:val="22"/>
        </w:rPr>
      </w:pPr>
      <w:r w:rsidRPr="00594C6E">
        <w:rPr>
          <w:rFonts w:ascii="Work Sans" w:hAnsi="Work Sans" w:cs="Arial"/>
          <w:sz w:val="22"/>
          <w:szCs w:val="22"/>
        </w:rPr>
        <w:t>Aprobó:</w:t>
      </w:r>
    </w:p>
    <w:p w14:paraId="5AE84435" w14:textId="77777777" w:rsidR="008C3A50" w:rsidRPr="00594C6E" w:rsidRDefault="008C3A50" w:rsidP="008C3A50">
      <w:pPr>
        <w:ind w:left="-1276" w:right="-377" w:firstLine="283"/>
        <w:jc w:val="both"/>
        <w:rPr>
          <w:rFonts w:ascii="Work Sans" w:hAnsi="Work Sans" w:cs="Arial"/>
          <w:b/>
          <w:sz w:val="22"/>
          <w:szCs w:val="22"/>
        </w:rPr>
      </w:pPr>
    </w:p>
    <w:p w14:paraId="1B8D8218" w14:textId="77777777" w:rsidR="008C3A50" w:rsidRPr="00594C6E" w:rsidRDefault="008C3A50" w:rsidP="008C3A50">
      <w:pPr>
        <w:ind w:left="-1276" w:right="-377" w:firstLine="283"/>
        <w:jc w:val="both"/>
        <w:rPr>
          <w:rFonts w:ascii="Work Sans" w:hAnsi="Work Sans" w:cs="Arial"/>
          <w:b/>
          <w:sz w:val="22"/>
          <w:szCs w:val="22"/>
        </w:rPr>
      </w:pPr>
    </w:p>
    <w:p w14:paraId="1EC48838" w14:textId="77777777" w:rsidR="008C3A50" w:rsidRPr="00594C6E" w:rsidRDefault="008C3A50" w:rsidP="008C3A50">
      <w:pPr>
        <w:ind w:left="-1276" w:right="-377" w:firstLine="283"/>
        <w:jc w:val="both"/>
        <w:rPr>
          <w:rFonts w:ascii="Work Sans" w:hAnsi="Work Sans" w:cs="Arial"/>
          <w:b/>
          <w:sz w:val="22"/>
          <w:szCs w:val="22"/>
        </w:rPr>
      </w:pPr>
    </w:p>
    <w:p w14:paraId="74AA9A57" w14:textId="77777777" w:rsidR="008C3A50" w:rsidRPr="00594C6E" w:rsidRDefault="008C3A50" w:rsidP="008C3A50">
      <w:pPr>
        <w:ind w:left="-1276" w:right="-377" w:firstLine="283"/>
        <w:jc w:val="both"/>
        <w:rPr>
          <w:rFonts w:ascii="Work Sans" w:hAnsi="Work Sans" w:cs="Arial"/>
          <w:b/>
          <w:sz w:val="22"/>
          <w:szCs w:val="22"/>
        </w:rPr>
      </w:pPr>
    </w:p>
    <w:p w14:paraId="4FEFFF2E" w14:textId="77777777" w:rsidR="008C3A50" w:rsidRPr="00594C6E" w:rsidRDefault="008C3A50" w:rsidP="008C3A50">
      <w:pPr>
        <w:ind w:left="-1276" w:right="-377" w:firstLine="283"/>
        <w:jc w:val="both"/>
        <w:rPr>
          <w:rFonts w:ascii="Work Sans" w:hAnsi="Work Sans" w:cs="Arial"/>
          <w:b/>
          <w:sz w:val="22"/>
          <w:szCs w:val="22"/>
        </w:rPr>
      </w:pPr>
    </w:p>
    <w:p w14:paraId="451D600D" w14:textId="77777777" w:rsidR="008C3A50" w:rsidRPr="00594C6E" w:rsidRDefault="008C3A50" w:rsidP="008C3A50">
      <w:pPr>
        <w:ind w:left="-851" w:right="-801"/>
        <w:jc w:val="both"/>
        <w:rPr>
          <w:rFonts w:ascii="Work Sans" w:hAnsi="Work Sans" w:cs="Calibri Light"/>
          <w:b/>
          <w:sz w:val="22"/>
          <w:szCs w:val="22"/>
        </w:rPr>
      </w:pPr>
      <w:r w:rsidRPr="00594C6E">
        <w:rPr>
          <w:rFonts w:ascii="Work Sans" w:hAnsi="Work Sans" w:cs="Calibri"/>
          <w:b/>
          <w:bCs/>
          <w:snapToGrid w:val="0"/>
          <w:color w:val="000000"/>
          <w:sz w:val="22"/>
          <w:szCs w:val="22"/>
        </w:rPr>
        <w:t xml:space="preserve"> </w:t>
      </w:r>
    </w:p>
    <w:p w14:paraId="12FAB27C" w14:textId="4DEDA36C" w:rsidR="008C3A50" w:rsidRPr="00594C6E" w:rsidRDefault="00594C6E" w:rsidP="008C3A50">
      <w:pPr>
        <w:ind w:left="-851" w:right="-801"/>
        <w:jc w:val="both"/>
        <w:rPr>
          <w:rFonts w:ascii="Work Sans" w:hAnsi="Work Sans" w:cs="Arial"/>
          <w:b/>
          <w:bCs/>
          <w:sz w:val="22"/>
          <w:szCs w:val="22"/>
        </w:rPr>
      </w:pPr>
      <w:r w:rsidRPr="00594C6E">
        <w:rPr>
          <w:rFonts w:ascii="Work Sans" w:hAnsi="Work Sans" w:cs="Arial"/>
          <w:b/>
          <w:bCs/>
          <w:sz w:val="22"/>
          <w:szCs w:val="22"/>
        </w:rPr>
        <w:t xml:space="preserve">ANGELA M. BELTRÁN PINZÓN </w:t>
      </w:r>
      <w:r w:rsidRPr="00594C6E">
        <w:rPr>
          <w:rFonts w:ascii="Work Sans" w:hAnsi="Work Sans" w:cs="Arial"/>
          <w:b/>
          <w:bCs/>
          <w:sz w:val="22"/>
          <w:szCs w:val="22"/>
        </w:rPr>
        <w:tab/>
      </w:r>
      <w:r w:rsidRPr="00594C6E">
        <w:rPr>
          <w:rFonts w:ascii="Work Sans" w:hAnsi="Work Sans" w:cs="Arial"/>
          <w:b/>
          <w:bCs/>
          <w:sz w:val="22"/>
          <w:szCs w:val="22"/>
        </w:rPr>
        <w:tab/>
      </w:r>
      <w:r w:rsidR="008C3A50" w:rsidRPr="00594C6E">
        <w:rPr>
          <w:rFonts w:ascii="Work Sans" w:hAnsi="Work Sans" w:cs="Arial"/>
          <w:b/>
          <w:bCs/>
          <w:sz w:val="22"/>
          <w:szCs w:val="22"/>
        </w:rPr>
        <w:tab/>
      </w:r>
      <w:r w:rsidR="00950DE0" w:rsidRPr="00594C6E">
        <w:rPr>
          <w:rFonts w:ascii="Work Sans" w:hAnsi="Work Sans" w:cs="Arial"/>
          <w:b/>
          <w:bCs/>
          <w:sz w:val="22"/>
          <w:szCs w:val="22"/>
        </w:rPr>
        <w:tab/>
      </w:r>
      <w:r w:rsidR="00950DE0" w:rsidRPr="00594C6E">
        <w:rPr>
          <w:rFonts w:ascii="Work Sans" w:hAnsi="Work Sans" w:cs="Arial"/>
          <w:b/>
          <w:bCs/>
          <w:sz w:val="22"/>
          <w:szCs w:val="22"/>
        </w:rPr>
        <w:tab/>
      </w:r>
      <w:r w:rsidR="008C3A50" w:rsidRPr="00594C6E">
        <w:rPr>
          <w:rFonts w:ascii="Work Sans" w:hAnsi="Work Sans" w:cs="Arial"/>
          <w:b/>
          <w:bCs/>
          <w:sz w:val="22"/>
          <w:szCs w:val="22"/>
        </w:rPr>
        <w:t xml:space="preserve">WALTER ASPRILLA CÁCERES  </w:t>
      </w:r>
    </w:p>
    <w:p w14:paraId="369DF7C5" w14:textId="30CFD650" w:rsidR="008C3A50" w:rsidRPr="00594C6E" w:rsidRDefault="00594C6E" w:rsidP="008C3A50">
      <w:pPr>
        <w:ind w:left="-851" w:right="-801"/>
        <w:jc w:val="both"/>
        <w:rPr>
          <w:rFonts w:ascii="Work Sans" w:hAnsi="Work Sans" w:cs="Arial"/>
          <w:sz w:val="22"/>
          <w:szCs w:val="22"/>
        </w:rPr>
      </w:pPr>
      <w:r w:rsidRPr="00594C6E">
        <w:rPr>
          <w:rFonts w:ascii="Work Sans" w:hAnsi="Work Sans" w:cs="Arial"/>
          <w:sz w:val="22"/>
          <w:szCs w:val="22"/>
        </w:rPr>
        <w:t>Directora de Artes</w:t>
      </w:r>
      <w:r w:rsidR="008C3A50" w:rsidRPr="00594C6E">
        <w:rPr>
          <w:rFonts w:ascii="Work Sans" w:hAnsi="Work Sans" w:cs="Arial"/>
          <w:sz w:val="22"/>
          <w:szCs w:val="22"/>
        </w:rPr>
        <w:t xml:space="preserve">. </w:t>
      </w:r>
      <w:r w:rsidR="008C3A50" w:rsidRPr="00594C6E">
        <w:rPr>
          <w:rFonts w:ascii="Work Sans" w:hAnsi="Work Sans" w:cs="Arial"/>
          <w:sz w:val="22"/>
          <w:szCs w:val="22"/>
        </w:rPr>
        <w:tab/>
      </w:r>
      <w:r w:rsidR="008C3A50" w:rsidRPr="00594C6E">
        <w:rPr>
          <w:rFonts w:ascii="Work Sans" w:hAnsi="Work Sans" w:cs="Arial"/>
          <w:sz w:val="22"/>
          <w:szCs w:val="22"/>
        </w:rPr>
        <w:tab/>
      </w:r>
      <w:r w:rsidRPr="00594C6E">
        <w:rPr>
          <w:rFonts w:ascii="Work Sans" w:hAnsi="Work Sans" w:cs="Arial"/>
          <w:sz w:val="22"/>
          <w:szCs w:val="22"/>
        </w:rPr>
        <w:tab/>
      </w:r>
      <w:r w:rsidRPr="00594C6E">
        <w:rPr>
          <w:rFonts w:ascii="Work Sans" w:hAnsi="Work Sans" w:cs="Arial"/>
          <w:sz w:val="22"/>
          <w:szCs w:val="22"/>
        </w:rPr>
        <w:tab/>
      </w:r>
      <w:r w:rsidRPr="00594C6E">
        <w:rPr>
          <w:rFonts w:ascii="Work Sans" w:hAnsi="Work Sans" w:cs="Arial"/>
          <w:sz w:val="22"/>
          <w:szCs w:val="22"/>
        </w:rPr>
        <w:tab/>
      </w:r>
      <w:r w:rsidRPr="00594C6E">
        <w:rPr>
          <w:rFonts w:ascii="Work Sans" w:hAnsi="Work Sans" w:cs="Arial"/>
          <w:sz w:val="22"/>
          <w:szCs w:val="22"/>
        </w:rPr>
        <w:tab/>
      </w:r>
      <w:r w:rsidRPr="00594C6E">
        <w:rPr>
          <w:rFonts w:ascii="Work Sans" w:hAnsi="Work Sans" w:cs="Arial"/>
          <w:sz w:val="22"/>
          <w:szCs w:val="22"/>
        </w:rPr>
        <w:tab/>
      </w:r>
      <w:r w:rsidR="008C3A50" w:rsidRPr="00594C6E">
        <w:rPr>
          <w:rFonts w:ascii="Work Sans" w:hAnsi="Work Sans" w:cs="Arial"/>
          <w:sz w:val="22"/>
          <w:szCs w:val="22"/>
        </w:rPr>
        <w:t>Jefe Oficina Asesora Jurídica.</w:t>
      </w:r>
    </w:p>
    <w:p w14:paraId="6537074C" w14:textId="77777777" w:rsidR="008C3A50" w:rsidRPr="00594C6E" w:rsidRDefault="008C3A50" w:rsidP="008C3A50">
      <w:pPr>
        <w:ind w:left="-851"/>
        <w:jc w:val="both"/>
        <w:rPr>
          <w:rFonts w:ascii="Work Sans" w:hAnsi="Work Sans" w:cs="Arial"/>
          <w:sz w:val="22"/>
          <w:szCs w:val="22"/>
        </w:rPr>
      </w:pPr>
    </w:p>
    <w:p w14:paraId="0B1FDA6F" w14:textId="38EF1868" w:rsidR="008C3A50" w:rsidRPr="00594C6E" w:rsidRDefault="008C3A50" w:rsidP="008C3A50">
      <w:pPr>
        <w:ind w:hanging="851"/>
        <w:jc w:val="both"/>
        <w:rPr>
          <w:rFonts w:ascii="Work Sans" w:hAnsi="Work Sans" w:cs="Arial"/>
          <w:sz w:val="16"/>
          <w:szCs w:val="16"/>
        </w:rPr>
      </w:pPr>
      <w:r w:rsidRPr="00594C6E">
        <w:rPr>
          <w:rFonts w:ascii="Work Sans" w:hAnsi="Work Sans" w:cs="Arial"/>
          <w:sz w:val="16"/>
          <w:szCs w:val="16"/>
        </w:rPr>
        <w:t>Revisó:</w:t>
      </w:r>
      <w:r w:rsidRPr="00594C6E">
        <w:rPr>
          <w:rFonts w:ascii="Work Sans" w:hAnsi="Work Sans" w:cs="Arial"/>
          <w:sz w:val="16"/>
          <w:szCs w:val="16"/>
        </w:rPr>
        <w:tab/>
        <w:t xml:space="preserve">Mauricio Herrera B., Coordinador Grupo de Asesoría Legal, Conceptos y Derechos de Petición/ </w:t>
      </w:r>
      <w:r w:rsidR="007A54B0" w:rsidRPr="00594C6E">
        <w:rPr>
          <w:rFonts w:ascii="Work Sans" w:hAnsi="Work Sans" w:cs="Arial"/>
          <w:sz w:val="16"/>
          <w:szCs w:val="16"/>
        </w:rPr>
        <w:t>Felipe Hoyos Núñez, Asesor Dirección de Artes.</w:t>
      </w:r>
    </w:p>
    <w:p w14:paraId="6AEC3B36" w14:textId="21F729A5" w:rsidR="007A54B0" w:rsidRPr="00594C6E" w:rsidRDefault="007A54B0" w:rsidP="008C3A50">
      <w:pPr>
        <w:ind w:hanging="851"/>
        <w:jc w:val="both"/>
        <w:rPr>
          <w:rFonts w:ascii="Work Sans" w:hAnsi="Work Sans" w:cs="Arial"/>
          <w:sz w:val="16"/>
          <w:szCs w:val="16"/>
        </w:rPr>
      </w:pPr>
      <w:r w:rsidRPr="00594C6E">
        <w:rPr>
          <w:rFonts w:ascii="Work Sans" w:hAnsi="Work Sans" w:cs="Arial"/>
          <w:sz w:val="16"/>
          <w:szCs w:val="16"/>
        </w:rPr>
        <w:t xml:space="preserve">Proyectó: Jaime Riascos I. </w:t>
      </w:r>
      <w:r w:rsidR="00594C6E" w:rsidRPr="00594C6E">
        <w:rPr>
          <w:rFonts w:ascii="Work Sans" w:hAnsi="Work Sans" w:cs="Arial"/>
          <w:sz w:val="16"/>
          <w:szCs w:val="16"/>
        </w:rPr>
        <w:t>Abogado Contratista OAJ</w:t>
      </w:r>
    </w:p>
    <w:p w14:paraId="600B9669" w14:textId="77777777" w:rsidR="008C3A50" w:rsidRPr="00594C6E" w:rsidRDefault="008C3A50" w:rsidP="008C3A50">
      <w:pPr>
        <w:ind w:left="-1276" w:right="-377" w:firstLine="283"/>
        <w:jc w:val="both"/>
        <w:rPr>
          <w:rFonts w:ascii="Work Sans" w:hAnsi="Work Sans" w:cs="Arial"/>
          <w:sz w:val="22"/>
          <w:szCs w:val="22"/>
        </w:rPr>
      </w:pPr>
    </w:p>
    <w:p w14:paraId="37961BED" w14:textId="77777777" w:rsidR="008C3A50" w:rsidRPr="00594C6E" w:rsidRDefault="008C3A50" w:rsidP="008C3A50">
      <w:pPr>
        <w:ind w:left="-1276" w:right="-377" w:firstLine="283"/>
        <w:jc w:val="both"/>
        <w:rPr>
          <w:rFonts w:ascii="Work Sans" w:hAnsi="Work Sans" w:cs="Arial"/>
          <w:sz w:val="22"/>
          <w:szCs w:val="22"/>
        </w:rPr>
      </w:pPr>
    </w:p>
    <w:p w14:paraId="14BA2E83" w14:textId="77777777" w:rsidR="008C3A50" w:rsidRPr="00594C6E" w:rsidRDefault="008C3A50" w:rsidP="008C3A50">
      <w:pPr>
        <w:ind w:right="23"/>
        <w:jc w:val="center"/>
        <w:rPr>
          <w:rFonts w:ascii="Work Sans" w:hAnsi="Work Sans" w:cs="Arial"/>
          <w:sz w:val="22"/>
          <w:szCs w:val="22"/>
        </w:rPr>
      </w:pPr>
    </w:p>
    <w:p w14:paraId="45972225" w14:textId="77777777" w:rsidR="008C3A50" w:rsidRPr="00594C6E" w:rsidRDefault="008C3A50" w:rsidP="008C3A50">
      <w:pPr>
        <w:ind w:right="-377"/>
        <w:jc w:val="both"/>
        <w:rPr>
          <w:rFonts w:ascii="Work Sans" w:hAnsi="Work Sans" w:cs="Arial"/>
          <w:b/>
          <w:sz w:val="22"/>
          <w:szCs w:val="22"/>
        </w:rPr>
      </w:pPr>
    </w:p>
    <w:p w14:paraId="5205B504" w14:textId="77777777" w:rsidR="00D5287E" w:rsidRPr="00594C6E" w:rsidRDefault="00D5287E">
      <w:pPr>
        <w:rPr>
          <w:rFonts w:ascii="Work Sans" w:hAnsi="Work Sans"/>
          <w:sz w:val="22"/>
          <w:szCs w:val="22"/>
        </w:rPr>
      </w:pPr>
    </w:p>
    <w:sectPr w:rsidR="00D5287E" w:rsidRPr="00594C6E" w:rsidSect="008C3A50">
      <w:headerReference w:type="default" r:id="rId8"/>
      <w:footerReference w:type="default" r:id="rId9"/>
      <w:headerReference w:type="first" r:id="rId10"/>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52716" w14:textId="77777777" w:rsidR="008D3213" w:rsidRDefault="008D3213">
      <w:r>
        <w:separator/>
      </w:r>
    </w:p>
  </w:endnote>
  <w:endnote w:type="continuationSeparator" w:id="0">
    <w:p w14:paraId="038DCE4C" w14:textId="77777777" w:rsidR="008D3213" w:rsidRDefault="008D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Work Sans">
    <w:altName w:val="Calibri"/>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EAFA" w14:textId="77777777" w:rsidR="00836C6A" w:rsidRDefault="00220F0E">
    <w:pPr>
      <w:pStyle w:val="Piedepgina"/>
      <w:jc w:val="right"/>
    </w:pPr>
    <w:r>
      <w:fldChar w:fldCharType="begin"/>
    </w:r>
    <w:r>
      <w:instrText>PAGE   \* MERGEFORMAT</w:instrText>
    </w:r>
    <w:r>
      <w:fldChar w:fldCharType="separate"/>
    </w:r>
    <w:r w:rsidR="00594C6E">
      <w:rPr>
        <w:noProof/>
      </w:rPr>
      <w:t>4</w:t>
    </w:r>
    <w:r>
      <w:fldChar w:fldCharType="end"/>
    </w:r>
  </w:p>
  <w:p w14:paraId="70B53B34" w14:textId="77777777" w:rsidR="00F07A7D" w:rsidRPr="0084294E" w:rsidRDefault="008D3213" w:rsidP="00FA4A9E">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43B6B" w14:textId="77777777" w:rsidR="008D3213" w:rsidRDefault="008D3213">
      <w:r>
        <w:separator/>
      </w:r>
    </w:p>
  </w:footnote>
  <w:footnote w:type="continuationSeparator" w:id="0">
    <w:p w14:paraId="7E0281A0" w14:textId="77777777" w:rsidR="008D3213" w:rsidRDefault="008D3213">
      <w:r>
        <w:continuationSeparator/>
      </w:r>
    </w:p>
  </w:footnote>
  <w:footnote w:id="1">
    <w:p w14:paraId="4B5E0F81" w14:textId="584DA46C" w:rsidR="00530BB5" w:rsidRPr="00530BB5" w:rsidRDefault="00530BB5">
      <w:pPr>
        <w:pStyle w:val="Textonotapie"/>
        <w:rPr>
          <w:lang w:val="es-CO"/>
        </w:rPr>
      </w:pPr>
      <w:r>
        <w:rPr>
          <w:rStyle w:val="Refdenotaalpie"/>
        </w:rPr>
        <w:footnoteRef/>
      </w:r>
      <w:r>
        <w:t xml:space="preserve"> </w:t>
      </w:r>
      <w:r>
        <w:rPr>
          <w:lang w:val="es-CO"/>
        </w:rPr>
        <w:t xml:space="preserve">Decreto 1080 de 2015, artículo </w:t>
      </w:r>
      <w:r w:rsidRPr="00530BB5">
        <w:rPr>
          <w:lang w:val="es-CO"/>
        </w:rPr>
        <w:t xml:space="preserve">2.9.1.2.11.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0DB4" w14:textId="77777777" w:rsidR="00F07A7D" w:rsidRDefault="008D3213">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696582" w14:paraId="54B4E154" w14:textId="77777777" w:rsidTr="001447C1">
      <w:tc>
        <w:tcPr>
          <w:tcW w:w="4253" w:type="dxa"/>
          <w:shd w:val="clear" w:color="auto" w:fill="auto"/>
        </w:tcPr>
        <w:p w14:paraId="05D57588" w14:textId="77777777" w:rsidR="00696582" w:rsidRDefault="008C3A50" w:rsidP="001447C1">
          <w:pPr>
            <w:pStyle w:val="Encabezado"/>
          </w:pPr>
          <w:r w:rsidRPr="00D965B1">
            <w:rPr>
              <w:noProof/>
              <w:lang w:val="es-CO" w:eastAsia="es-CO"/>
            </w:rPr>
            <w:drawing>
              <wp:inline distT="0" distB="0" distL="0" distR="0" wp14:anchorId="69BFCEF0" wp14:editId="7E72C5BE">
                <wp:extent cx="2562225" cy="542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42925"/>
                        </a:xfrm>
                        <a:prstGeom prst="rect">
                          <a:avLst/>
                        </a:prstGeom>
                        <a:noFill/>
                        <a:ln>
                          <a:noFill/>
                        </a:ln>
                      </pic:spPr>
                    </pic:pic>
                  </a:graphicData>
                </a:graphic>
              </wp:inline>
            </w:drawing>
          </w:r>
        </w:p>
      </w:tc>
      <w:tc>
        <w:tcPr>
          <w:tcW w:w="6545" w:type="dxa"/>
          <w:shd w:val="clear" w:color="auto" w:fill="auto"/>
          <w:vAlign w:val="center"/>
        </w:tcPr>
        <w:p w14:paraId="690A8C4A" w14:textId="77777777" w:rsidR="00696582" w:rsidRDefault="00220F0E" w:rsidP="001447C1">
          <w:pPr>
            <w:pStyle w:val="Ttulo2"/>
            <w:ind w:left="72" w:right="72"/>
          </w:pPr>
          <w:r w:rsidRPr="00FD3D04">
            <w:rPr>
              <w:rFonts w:cs="Arial"/>
              <w:bCs/>
              <w:color w:val="000000"/>
              <w:sz w:val="24"/>
              <w:szCs w:val="24"/>
            </w:rPr>
            <w:t>FORMATO MEMORIA JUSTIFICATIVA</w:t>
          </w:r>
        </w:p>
      </w:tc>
    </w:tr>
  </w:tbl>
  <w:p w14:paraId="3A352351" w14:textId="77777777" w:rsidR="00F07A7D" w:rsidRDefault="008D32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350767" w14:paraId="6DE0C0EF" w14:textId="77777777" w:rsidTr="00FD3D04">
      <w:tc>
        <w:tcPr>
          <w:tcW w:w="4253" w:type="dxa"/>
          <w:shd w:val="clear" w:color="auto" w:fill="auto"/>
        </w:tcPr>
        <w:p w14:paraId="5738C0DD" w14:textId="77777777" w:rsidR="00350767" w:rsidRDefault="008C3A50">
          <w:pPr>
            <w:pStyle w:val="Encabezado"/>
          </w:pPr>
          <w:r w:rsidRPr="00D965B1">
            <w:rPr>
              <w:noProof/>
              <w:lang w:val="es-CO" w:eastAsia="es-CO"/>
            </w:rPr>
            <w:drawing>
              <wp:inline distT="0" distB="0" distL="0" distR="0" wp14:anchorId="14191432" wp14:editId="2128738B">
                <wp:extent cx="2562225" cy="542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42925"/>
                        </a:xfrm>
                        <a:prstGeom prst="rect">
                          <a:avLst/>
                        </a:prstGeom>
                        <a:noFill/>
                        <a:ln>
                          <a:noFill/>
                        </a:ln>
                      </pic:spPr>
                    </pic:pic>
                  </a:graphicData>
                </a:graphic>
              </wp:inline>
            </w:drawing>
          </w:r>
        </w:p>
      </w:tc>
      <w:tc>
        <w:tcPr>
          <w:tcW w:w="6545" w:type="dxa"/>
          <w:shd w:val="clear" w:color="auto" w:fill="auto"/>
          <w:vAlign w:val="center"/>
        </w:tcPr>
        <w:p w14:paraId="374BB162" w14:textId="77777777" w:rsidR="00350767" w:rsidRDefault="00220F0E" w:rsidP="00FD3D04">
          <w:pPr>
            <w:pStyle w:val="Ttulo2"/>
            <w:ind w:left="72" w:right="72"/>
          </w:pPr>
          <w:r w:rsidRPr="00FD3D04">
            <w:rPr>
              <w:rFonts w:cs="Arial"/>
              <w:bCs/>
              <w:color w:val="000000"/>
              <w:sz w:val="24"/>
              <w:szCs w:val="24"/>
            </w:rPr>
            <w:t>FORMATO MEMORIA JUSTIFICATIVA</w:t>
          </w:r>
        </w:p>
      </w:tc>
    </w:tr>
  </w:tbl>
  <w:p w14:paraId="625683D6" w14:textId="77777777" w:rsidR="00350767" w:rsidRDefault="008D32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1295"/>
    <w:multiLevelType w:val="hybridMultilevel"/>
    <w:tmpl w:val="FE98BE24"/>
    <w:lvl w:ilvl="0" w:tplc="080A0001">
      <w:start w:val="1"/>
      <w:numFmt w:val="bullet"/>
      <w:lvlText w:val=""/>
      <w:lvlJc w:val="left"/>
      <w:pPr>
        <w:ind w:left="858" w:hanging="360"/>
      </w:pPr>
      <w:rPr>
        <w:rFonts w:ascii="Symbol" w:hAnsi="Symbol" w:hint="default"/>
      </w:rPr>
    </w:lvl>
    <w:lvl w:ilvl="1" w:tplc="080A0003" w:tentative="1">
      <w:start w:val="1"/>
      <w:numFmt w:val="bullet"/>
      <w:lvlText w:val="o"/>
      <w:lvlJc w:val="left"/>
      <w:pPr>
        <w:ind w:left="1578" w:hanging="360"/>
      </w:pPr>
      <w:rPr>
        <w:rFonts w:ascii="Courier New" w:hAnsi="Courier New" w:cs="Courier New" w:hint="default"/>
      </w:rPr>
    </w:lvl>
    <w:lvl w:ilvl="2" w:tplc="080A0005" w:tentative="1">
      <w:start w:val="1"/>
      <w:numFmt w:val="bullet"/>
      <w:lvlText w:val=""/>
      <w:lvlJc w:val="left"/>
      <w:pPr>
        <w:ind w:left="2298" w:hanging="360"/>
      </w:pPr>
      <w:rPr>
        <w:rFonts w:ascii="Wingdings" w:hAnsi="Wingdings" w:hint="default"/>
      </w:rPr>
    </w:lvl>
    <w:lvl w:ilvl="3" w:tplc="080A0001" w:tentative="1">
      <w:start w:val="1"/>
      <w:numFmt w:val="bullet"/>
      <w:lvlText w:val=""/>
      <w:lvlJc w:val="left"/>
      <w:pPr>
        <w:ind w:left="3018" w:hanging="360"/>
      </w:pPr>
      <w:rPr>
        <w:rFonts w:ascii="Symbol" w:hAnsi="Symbol" w:hint="default"/>
      </w:rPr>
    </w:lvl>
    <w:lvl w:ilvl="4" w:tplc="080A0003" w:tentative="1">
      <w:start w:val="1"/>
      <w:numFmt w:val="bullet"/>
      <w:lvlText w:val="o"/>
      <w:lvlJc w:val="left"/>
      <w:pPr>
        <w:ind w:left="3738" w:hanging="360"/>
      </w:pPr>
      <w:rPr>
        <w:rFonts w:ascii="Courier New" w:hAnsi="Courier New" w:cs="Courier New" w:hint="default"/>
      </w:rPr>
    </w:lvl>
    <w:lvl w:ilvl="5" w:tplc="080A0005" w:tentative="1">
      <w:start w:val="1"/>
      <w:numFmt w:val="bullet"/>
      <w:lvlText w:val=""/>
      <w:lvlJc w:val="left"/>
      <w:pPr>
        <w:ind w:left="4458" w:hanging="360"/>
      </w:pPr>
      <w:rPr>
        <w:rFonts w:ascii="Wingdings" w:hAnsi="Wingdings" w:hint="default"/>
      </w:rPr>
    </w:lvl>
    <w:lvl w:ilvl="6" w:tplc="080A0001" w:tentative="1">
      <w:start w:val="1"/>
      <w:numFmt w:val="bullet"/>
      <w:lvlText w:val=""/>
      <w:lvlJc w:val="left"/>
      <w:pPr>
        <w:ind w:left="5178" w:hanging="360"/>
      </w:pPr>
      <w:rPr>
        <w:rFonts w:ascii="Symbol" w:hAnsi="Symbol" w:hint="default"/>
      </w:rPr>
    </w:lvl>
    <w:lvl w:ilvl="7" w:tplc="080A0003" w:tentative="1">
      <w:start w:val="1"/>
      <w:numFmt w:val="bullet"/>
      <w:lvlText w:val="o"/>
      <w:lvlJc w:val="left"/>
      <w:pPr>
        <w:ind w:left="5898" w:hanging="360"/>
      </w:pPr>
      <w:rPr>
        <w:rFonts w:ascii="Courier New" w:hAnsi="Courier New" w:cs="Courier New" w:hint="default"/>
      </w:rPr>
    </w:lvl>
    <w:lvl w:ilvl="8" w:tplc="080A0005" w:tentative="1">
      <w:start w:val="1"/>
      <w:numFmt w:val="bullet"/>
      <w:lvlText w:val=""/>
      <w:lvlJc w:val="left"/>
      <w:pPr>
        <w:ind w:left="6618" w:hanging="360"/>
      </w:pPr>
      <w:rPr>
        <w:rFonts w:ascii="Wingdings" w:hAnsi="Wingdings" w:hint="default"/>
      </w:rPr>
    </w:lvl>
  </w:abstractNum>
  <w:abstractNum w:abstractNumId="1">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F366FC2"/>
    <w:multiLevelType w:val="hybridMultilevel"/>
    <w:tmpl w:val="727207F0"/>
    <w:lvl w:ilvl="0" w:tplc="040A0001">
      <w:start w:val="1"/>
      <w:numFmt w:val="bullet"/>
      <w:lvlText w:val=""/>
      <w:lvlJc w:val="left"/>
      <w:pPr>
        <w:ind w:left="1088" w:hanging="360"/>
      </w:pPr>
      <w:rPr>
        <w:rFonts w:ascii="Symbol" w:hAnsi="Symbol" w:hint="default"/>
      </w:rPr>
    </w:lvl>
    <w:lvl w:ilvl="1" w:tplc="040A0003" w:tentative="1">
      <w:start w:val="1"/>
      <w:numFmt w:val="bullet"/>
      <w:lvlText w:val="o"/>
      <w:lvlJc w:val="left"/>
      <w:pPr>
        <w:ind w:left="1808" w:hanging="360"/>
      </w:pPr>
      <w:rPr>
        <w:rFonts w:ascii="Courier New" w:hAnsi="Courier New" w:cs="Courier New" w:hint="default"/>
      </w:rPr>
    </w:lvl>
    <w:lvl w:ilvl="2" w:tplc="040A0005" w:tentative="1">
      <w:start w:val="1"/>
      <w:numFmt w:val="bullet"/>
      <w:lvlText w:val=""/>
      <w:lvlJc w:val="left"/>
      <w:pPr>
        <w:ind w:left="2528" w:hanging="360"/>
      </w:pPr>
      <w:rPr>
        <w:rFonts w:ascii="Wingdings" w:hAnsi="Wingdings" w:hint="default"/>
      </w:rPr>
    </w:lvl>
    <w:lvl w:ilvl="3" w:tplc="040A0001" w:tentative="1">
      <w:start w:val="1"/>
      <w:numFmt w:val="bullet"/>
      <w:lvlText w:val=""/>
      <w:lvlJc w:val="left"/>
      <w:pPr>
        <w:ind w:left="3248" w:hanging="360"/>
      </w:pPr>
      <w:rPr>
        <w:rFonts w:ascii="Symbol" w:hAnsi="Symbol" w:hint="default"/>
      </w:rPr>
    </w:lvl>
    <w:lvl w:ilvl="4" w:tplc="040A0003" w:tentative="1">
      <w:start w:val="1"/>
      <w:numFmt w:val="bullet"/>
      <w:lvlText w:val="o"/>
      <w:lvlJc w:val="left"/>
      <w:pPr>
        <w:ind w:left="3968" w:hanging="360"/>
      </w:pPr>
      <w:rPr>
        <w:rFonts w:ascii="Courier New" w:hAnsi="Courier New" w:cs="Courier New" w:hint="default"/>
      </w:rPr>
    </w:lvl>
    <w:lvl w:ilvl="5" w:tplc="040A0005" w:tentative="1">
      <w:start w:val="1"/>
      <w:numFmt w:val="bullet"/>
      <w:lvlText w:val=""/>
      <w:lvlJc w:val="left"/>
      <w:pPr>
        <w:ind w:left="4688" w:hanging="360"/>
      </w:pPr>
      <w:rPr>
        <w:rFonts w:ascii="Wingdings" w:hAnsi="Wingdings" w:hint="default"/>
      </w:rPr>
    </w:lvl>
    <w:lvl w:ilvl="6" w:tplc="040A0001" w:tentative="1">
      <w:start w:val="1"/>
      <w:numFmt w:val="bullet"/>
      <w:lvlText w:val=""/>
      <w:lvlJc w:val="left"/>
      <w:pPr>
        <w:ind w:left="5408" w:hanging="360"/>
      </w:pPr>
      <w:rPr>
        <w:rFonts w:ascii="Symbol" w:hAnsi="Symbol" w:hint="default"/>
      </w:rPr>
    </w:lvl>
    <w:lvl w:ilvl="7" w:tplc="040A0003" w:tentative="1">
      <w:start w:val="1"/>
      <w:numFmt w:val="bullet"/>
      <w:lvlText w:val="o"/>
      <w:lvlJc w:val="left"/>
      <w:pPr>
        <w:ind w:left="6128" w:hanging="360"/>
      </w:pPr>
      <w:rPr>
        <w:rFonts w:ascii="Courier New" w:hAnsi="Courier New" w:cs="Courier New" w:hint="default"/>
      </w:rPr>
    </w:lvl>
    <w:lvl w:ilvl="8" w:tplc="040A0005" w:tentative="1">
      <w:start w:val="1"/>
      <w:numFmt w:val="bullet"/>
      <w:lvlText w:val=""/>
      <w:lvlJc w:val="left"/>
      <w:pPr>
        <w:ind w:left="6848" w:hanging="360"/>
      </w:pPr>
      <w:rPr>
        <w:rFonts w:ascii="Wingdings" w:hAnsi="Wingdings" w:hint="default"/>
      </w:rPr>
    </w:lvl>
  </w:abstractNum>
  <w:abstractNum w:abstractNumId="3">
    <w:nsid w:val="38C633E2"/>
    <w:multiLevelType w:val="hybridMultilevel"/>
    <w:tmpl w:val="A26A27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2CB1B8A"/>
    <w:multiLevelType w:val="multilevel"/>
    <w:tmpl w:val="52F610EC"/>
    <w:lvl w:ilvl="0">
      <w:start w:val="3"/>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564" w:hanging="72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346" w:hanging="108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5">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50"/>
    <w:rsid w:val="00027C44"/>
    <w:rsid w:val="000A0FC4"/>
    <w:rsid w:val="000C6499"/>
    <w:rsid w:val="001F1230"/>
    <w:rsid w:val="00220F0E"/>
    <w:rsid w:val="002A7370"/>
    <w:rsid w:val="00514A23"/>
    <w:rsid w:val="00530BB5"/>
    <w:rsid w:val="0059003F"/>
    <w:rsid w:val="00594C6E"/>
    <w:rsid w:val="005D0601"/>
    <w:rsid w:val="00681CE3"/>
    <w:rsid w:val="006F1F52"/>
    <w:rsid w:val="007A54B0"/>
    <w:rsid w:val="008005C1"/>
    <w:rsid w:val="00866BC1"/>
    <w:rsid w:val="008C3A50"/>
    <w:rsid w:val="008D3213"/>
    <w:rsid w:val="00950DE0"/>
    <w:rsid w:val="00974780"/>
    <w:rsid w:val="009F6CDA"/>
    <w:rsid w:val="00A8642F"/>
    <w:rsid w:val="00C059A5"/>
    <w:rsid w:val="00D5287E"/>
    <w:rsid w:val="00D716AA"/>
    <w:rsid w:val="00DA4244"/>
    <w:rsid w:val="00F17AC0"/>
    <w:rsid w:val="00F246BA"/>
    <w:rsid w:val="00F26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69B4"/>
  <w15:chartTrackingRefBased/>
  <w15:docId w15:val="{CD1B99AE-7B0E-48EC-B30E-2DCA2F27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50"/>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8C3A50"/>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C3A50"/>
    <w:rPr>
      <w:rFonts w:ascii="Arial" w:eastAsia="Times New Roman" w:hAnsi="Arial" w:cs="Times New Roman"/>
      <w:b/>
      <w:sz w:val="20"/>
      <w:szCs w:val="20"/>
      <w:lang w:val="es-ES" w:eastAsia="es-ES"/>
    </w:rPr>
  </w:style>
  <w:style w:type="paragraph" w:styleId="Encabezado">
    <w:name w:val="header"/>
    <w:basedOn w:val="Normal"/>
    <w:link w:val="EncabezadoCar"/>
    <w:rsid w:val="008C3A50"/>
    <w:pPr>
      <w:tabs>
        <w:tab w:val="center" w:pos="4252"/>
        <w:tab w:val="right" w:pos="8504"/>
      </w:tabs>
    </w:pPr>
  </w:style>
  <w:style w:type="character" w:customStyle="1" w:styleId="EncabezadoCar">
    <w:name w:val="Encabezado Car"/>
    <w:basedOn w:val="Fuentedeprrafopredeter"/>
    <w:link w:val="Encabezado"/>
    <w:rsid w:val="008C3A50"/>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8C3A50"/>
    <w:pPr>
      <w:tabs>
        <w:tab w:val="center" w:pos="4252"/>
        <w:tab w:val="right" w:pos="8504"/>
      </w:tabs>
    </w:pPr>
  </w:style>
  <w:style w:type="character" w:customStyle="1" w:styleId="PiedepginaCar">
    <w:name w:val="Pie de página Car"/>
    <w:basedOn w:val="Fuentedeprrafopredeter"/>
    <w:link w:val="Piedepgina"/>
    <w:uiPriority w:val="99"/>
    <w:rsid w:val="008C3A50"/>
    <w:rPr>
      <w:rFonts w:ascii="Arial" w:eastAsia="Times New Roman" w:hAnsi="Arial" w:cs="Times New Roman"/>
      <w:sz w:val="20"/>
      <w:szCs w:val="20"/>
      <w:lang w:val="es-ES" w:eastAsia="es-ES"/>
    </w:rPr>
  </w:style>
  <w:style w:type="paragraph" w:customStyle="1" w:styleId="Default">
    <w:name w:val="Default"/>
    <w:rsid w:val="008C3A50"/>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Listavistosa-nfasis1Car">
    <w:name w:val="Lista vistosa - Énfasis 1 Car"/>
    <w:aliases w:val="Normal. Viñetas Car,Lista vistosa - Énfasis 11 Car"/>
    <w:link w:val="Listavistosa-nfasis1"/>
    <w:uiPriority w:val="34"/>
    <w:locked/>
    <w:rsid w:val="008C3A50"/>
    <w:rPr>
      <w:rFonts w:ascii="Calibri" w:hAnsi="Calibri"/>
      <w:sz w:val="22"/>
      <w:szCs w:val="22"/>
    </w:rPr>
  </w:style>
  <w:style w:type="paragraph" w:styleId="Sangra2detindependiente">
    <w:name w:val="Body Text Indent 2"/>
    <w:basedOn w:val="Normal"/>
    <w:link w:val="Sangra2detindependienteCar"/>
    <w:rsid w:val="008C3A50"/>
    <w:pPr>
      <w:spacing w:after="120" w:line="480" w:lineRule="auto"/>
      <w:ind w:left="283"/>
    </w:pPr>
  </w:style>
  <w:style w:type="character" w:customStyle="1" w:styleId="Sangra2detindependienteCar">
    <w:name w:val="Sangría 2 de t. independiente Car"/>
    <w:basedOn w:val="Fuentedeprrafopredeter"/>
    <w:link w:val="Sangra2detindependiente"/>
    <w:rsid w:val="008C3A50"/>
    <w:rPr>
      <w:rFonts w:ascii="Arial" w:eastAsia="Times New Roman" w:hAnsi="Arial" w:cs="Times New Roman"/>
      <w:sz w:val="20"/>
      <w:szCs w:val="20"/>
      <w:lang w:val="es-ES" w:eastAsia="es-ES"/>
    </w:rPr>
  </w:style>
  <w:style w:type="paragraph" w:styleId="Sinespaciado">
    <w:name w:val="No Spacing"/>
    <w:link w:val="SinespaciadoCar"/>
    <w:uiPriority w:val="1"/>
    <w:qFormat/>
    <w:rsid w:val="008C3A50"/>
    <w:pPr>
      <w:spacing w:after="0" w:line="240" w:lineRule="auto"/>
    </w:pPr>
    <w:rPr>
      <w:rFonts w:ascii="Calibri" w:eastAsia="Times New Roman" w:hAnsi="Calibri" w:cs="Times New Roman"/>
      <w:sz w:val="24"/>
      <w:szCs w:val="24"/>
      <w:lang w:val="es-ES_tradnl" w:eastAsia="es-ES"/>
    </w:rPr>
  </w:style>
  <w:style w:type="character" w:customStyle="1" w:styleId="SinespaciadoCar">
    <w:name w:val="Sin espaciado Car"/>
    <w:link w:val="Sinespaciado"/>
    <w:uiPriority w:val="1"/>
    <w:rsid w:val="008C3A50"/>
    <w:rPr>
      <w:rFonts w:ascii="Calibri" w:eastAsia="Times New Roman" w:hAnsi="Calibri" w:cs="Times New Roman"/>
      <w:sz w:val="24"/>
      <w:szCs w:val="24"/>
      <w:lang w:val="es-ES_tradnl" w:eastAsia="es-ES"/>
    </w:rPr>
  </w:style>
  <w:style w:type="table" w:styleId="Listavistosa-nfasis1">
    <w:name w:val="Colorful List Accent 1"/>
    <w:basedOn w:val="Tablanormal"/>
    <w:link w:val="Listavistosa-nfasis1Car"/>
    <w:uiPriority w:val="34"/>
    <w:semiHidden/>
    <w:unhideWhenUsed/>
    <w:rsid w:val="008C3A50"/>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2">
    <w:name w:val="Body Text 2"/>
    <w:basedOn w:val="Normal"/>
    <w:link w:val="Textoindependiente2Car"/>
    <w:uiPriority w:val="99"/>
    <w:unhideWhenUsed/>
    <w:rsid w:val="00220F0E"/>
    <w:pPr>
      <w:spacing w:after="120" w:line="480" w:lineRule="auto"/>
    </w:pPr>
    <w:rPr>
      <w:rFonts w:ascii="Arial Narrow" w:eastAsia="MS Mincho" w:hAnsi="Arial Narrow"/>
      <w:sz w:val="24"/>
      <w:szCs w:val="24"/>
    </w:rPr>
  </w:style>
  <w:style w:type="character" w:customStyle="1" w:styleId="Textoindependiente2Car">
    <w:name w:val="Texto independiente 2 Car"/>
    <w:basedOn w:val="Fuentedeprrafopredeter"/>
    <w:link w:val="Textoindependiente2"/>
    <w:uiPriority w:val="99"/>
    <w:rsid w:val="00220F0E"/>
    <w:rPr>
      <w:rFonts w:ascii="Arial Narrow" w:eastAsia="MS Mincho" w:hAnsi="Arial Narrow" w:cs="Times New Roman"/>
      <w:sz w:val="24"/>
      <w:szCs w:val="24"/>
      <w:lang w:val="es-ES" w:eastAsia="es-ES"/>
    </w:rPr>
  </w:style>
  <w:style w:type="paragraph" w:styleId="Textonotapie">
    <w:name w:val="footnote text"/>
    <w:basedOn w:val="Normal"/>
    <w:link w:val="TextonotapieCar"/>
    <w:uiPriority w:val="99"/>
    <w:semiHidden/>
    <w:unhideWhenUsed/>
    <w:rsid w:val="00530BB5"/>
  </w:style>
  <w:style w:type="character" w:customStyle="1" w:styleId="TextonotapieCar">
    <w:name w:val="Texto nota pie Car"/>
    <w:basedOn w:val="Fuentedeprrafopredeter"/>
    <w:link w:val="Textonotapie"/>
    <w:uiPriority w:val="99"/>
    <w:semiHidden/>
    <w:rsid w:val="00530BB5"/>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30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H7EN5MXTHQNV-429570507-3197</_dlc_DocId>
    <_dlc_DocIdUrl xmlns="ae9388c0-b1e2-40ea-b6a8-c51c7913cbd2">
      <Url>https://mng.mincultura.gov.co/ministerio/transparencia-y-acceso-a-informacion-publica/publicidad%20de%20proyectos%20de%20especificos%20de%20regulacion/_layouts/15/DocIdRedir.aspx?ID=H7EN5MXTHQNV-429570507-3197</Url>
      <Description>H7EN5MXTHQNV-429570507-3197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1241-8191-4564-9C22-5968019911D4}"/>
</file>

<file path=customXml/itemProps2.xml><?xml version="1.0" encoding="utf-8"?>
<ds:datastoreItem xmlns:ds="http://schemas.openxmlformats.org/officeDocument/2006/customXml" ds:itemID="{2025B0D8-0652-4D7C-9E21-EED390FF6D5A}"/>
</file>

<file path=customXml/itemProps3.xml><?xml version="1.0" encoding="utf-8"?>
<ds:datastoreItem xmlns:ds="http://schemas.openxmlformats.org/officeDocument/2006/customXml" ds:itemID="{DDD6FA6F-90EB-4AD7-9A8E-940755D261A5}"/>
</file>

<file path=customXml/itemProps4.xml><?xml version="1.0" encoding="utf-8"?>
<ds:datastoreItem xmlns:ds="http://schemas.openxmlformats.org/officeDocument/2006/customXml" ds:itemID="{8BD12508-0659-4B8A-AF78-B99A83E914BE}"/>
</file>

<file path=customXml/itemProps5.xml><?xml version="1.0" encoding="utf-8"?>
<ds:datastoreItem xmlns:ds="http://schemas.openxmlformats.org/officeDocument/2006/customXml" ds:itemID="{DAB87899-4419-44E4-B621-4710C37BBAB2}"/>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2021-12-31 MEMORIA JUSTIFICATIVA RESOLUCION CATEGORIZACION PRODUCTORES</dc:title>
  <dc:subject/>
  <dc:creator>Mauricio Herrera Bermudez</dc:creator>
  <cp:keywords/>
  <dc:description/>
  <cp:lastModifiedBy>Mauricio Herrera Bermudez</cp:lastModifiedBy>
  <cp:revision>2</cp:revision>
  <dcterms:created xsi:type="dcterms:W3CDTF">2021-12-31T16:19:00Z</dcterms:created>
  <dcterms:modified xsi:type="dcterms:W3CDTF">2021-12-31T16:19:00Z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24b6035d-fd26-47fe-87eb-e5eb8e29d5c7</vt:lpwstr>
  </property>
</Properties>
</file>