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7EB3" w14:textId="74BB9E42" w:rsidR="00445035" w:rsidRPr="007F439C" w:rsidRDefault="00561887" w:rsidP="00BC4A8A">
      <w:pPr>
        <w:autoSpaceDE w:val="0"/>
        <w:autoSpaceDN w:val="0"/>
        <w:adjustRightInd w:val="0"/>
        <w:ind w:left="-567" w:right="-799"/>
        <w:jc w:val="center"/>
        <w:rPr>
          <w:rFonts w:ascii="Arial" w:hAnsi="Arial" w:cs="Arial"/>
          <w:color w:val="000000" w:themeColor="text1"/>
          <w:lang w:eastAsia="es-ES"/>
        </w:rPr>
      </w:pPr>
      <w:bookmarkStart w:id="0" w:name="_Hlk516237687"/>
      <w:r w:rsidRPr="007F439C">
        <w:rPr>
          <w:rFonts w:ascii="Arial" w:hAnsi="Arial" w:cs="Arial"/>
          <w:color w:val="000000" w:themeColor="text1"/>
          <w:lang w:eastAsia="es-ES"/>
        </w:rPr>
        <w:t xml:space="preserve">Por el cual se </w:t>
      </w:r>
      <w:r w:rsidR="00C06BC5" w:rsidRPr="007F439C">
        <w:rPr>
          <w:rFonts w:ascii="Arial" w:hAnsi="Arial" w:cs="Arial"/>
          <w:color w:val="000000" w:themeColor="text1"/>
          <w:lang w:eastAsia="es-ES"/>
        </w:rPr>
        <w:t xml:space="preserve">adiciona </w:t>
      </w:r>
      <w:r w:rsidR="004066EA" w:rsidRPr="007F439C">
        <w:rPr>
          <w:rFonts w:ascii="Arial" w:hAnsi="Arial" w:cs="Arial"/>
          <w:color w:val="000000" w:themeColor="text1"/>
          <w:lang w:eastAsia="es-ES"/>
        </w:rPr>
        <w:t xml:space="preserve">el </w:t>
      </w:r>
      <w:r w:rsidR="00E70EC1" w:rsidRPr="007F439C">
        <w:rPr>
          <w:rFonts w:ascii="Arial" w:hAnsi="Arial" w:cs="Arial"/>
          <w:color w:val="000000" w:themeColor="text1"/>
          <w:lang w:eastAsia="es-ES"/>
        </w:rPr>
        <w:t>Decreto 1080 de 2015</w:t>
      </w:r>
      <w:r w:rsidR="00C06BC5" w:rsidRPr="007F439C">
        <w:rPr>
          <w:rFonts w:ascii="Arial" w:hAnsi="Arial" w:cs="Arial"/>
          <w:color w:val="000000" w:themeColor="text1"/>
          <w:lang w:eastAsia="es-ES"/>
        </w:rPr>
        <w:t>,</w:t>
      </w:r>
      <w:r w:rsidR="00EE1BC2" w:rsidRPr="007F439C">
        <w:rPr>
          <w:rFonts w:ascii="Arial" w:hAnsi="Arial" w:cs="Arial"/>
          <w:color w:val="000000" w:themeColor="text1"/>
          <w:lang w:eastAsia="es-ES"/>
        </w:rPr>
        <w:t xml:space="preserve"> Único Reglamentario del Sector Cultura</w:t>
      </w:r>
      <w:r w:rsidR="00C06BC5" w:rsidRPr="007F439C">
        <w:rPr>
          <w:rFonts w:ascii="Arial" w:hAnsi="Arial" w:cs="Arial"/>
          <w:color w:val="000000" w:themeColor="text1"/>
          <w:lang w:eastAsia="es-ES"/>
        </w:rPr>
        <w:t>, y se reglamenta parcialmente la Ley 2070 de 2020</w:t>
      </w:r>
    </w:p>
    <w:p w14:paraId="0106EFE9" w14:textId="44D6B6D1" w:rsidR="006D753F" w:rsidRPr="007F439C" w:rsidRDefault="006D753F" w:rsidP="00BC4A8A">
      <w:pPr>
        <w:autoSpaceDE w:val="0"/>
        <w:autoSpaceDN w:val="0"/>
        <w:adjustRightInd w:val="0"/>
        <w:ind w:left="-567" w:right="-799"/>
        <w:jc w:val="both"/>
        <w:rPr>
          <w:rFonts w:ascii="Arial" w:hAnsi="Arial" w:cs="Arial"/>
          <w:b/>
          <w:color w:val="000000" w:themeColor="text1"/>
          <w:lang w:eastAsia="es-ES"/>
        </w:rPr>
      </w:pPr>
    </w:p>
    <w:p w14:paraId="7C303D53" w14:textId="77777777" w:rsidR="00E23357" w:rsidRPr="007F439C" w:rsidRDefault="00E23357" w:rsidP="00BC4A8A">
      <w:pPr>
        <w:autoSpaceDE w:val="0"/>
        <w:autoSpaceDN w:val="0"/>
        <w:adjustRightInd w:val="0"/>
        <w:ind w:left="-567" w:right="-799"/>
        <w:jc w:val="both"/>
        <w:rPr>
          <w:rFonts w:ascii="Arial" w:hAnsi="Arial" w:cs="Arial"/>
          <w:b/>
          <w:color w:val="000000" w:themeColor="text1"/>
          <w:lang w:eastAsia="es-ES"/>
        </w:rPr>
      </w:pPr>
    </w:p>
    <w:p w14:paraId="56D8E74E" w14:textId="40726E86" w:rsidR="00561887" w:rsidRPr="007F439C" w:rsidRDefault="00561887" w:rsidP="00BC4A8A">
      <w:pPr>
        <w:autoSpaceDE w:val="0"/>
        <w:autoSpaceDN w:val="0"/>
        <w:adjustRightInd w:val="0"/>
        <w:ind w:left="-567" w:right="-799"/>
        <w:jc w:val="center"/>
        <w:rPr>
          <w:rFonts w:ascii="Arial" w:hAnsi="Arial" w:cs="Arial"/>
          <w:b/>
          <w:color w:val="000000" w:themeColor="text1"/>
          <w:lang w:eastAsia="es-ES"/>
        </w:rPr>
      </w:pPr>
      <w:r w:rsidRPr="007F439C">
        <w:rPr>
          <w:rFonts w:ascii="Arial" w:hAnsi="Arial" w:cs="Arial"/>
          <w:b/>
          <w:color w:val="000000" w:themeColor="text1"/>
          <w:lang w:eastAsia="es-ES"/>
        </w:rPr>
        <w:t>EL PRESIDENTE DE LA REPÚBLICA DE COLOMBIA</w:t>
      </w:r>
    </w:p>
    <w:p w14:paraId="5A2E87E8" w14:textId="77777777" w:rsidR="00561887" w:rsidRPr="007F439C" w:rsidRDefault="00561887" w:rsidP="00BC4A8A">
      <w:pPr>
        <w:autoSpaceDE w:val="0"/>
        <w:autoSpaceDN w:val="0"/>
        <w:adjustRightInd w:val="0"/>
        <w:ind w:left="-567" w:right="-799"/>
        <w:jc w:val="both"/>
        <w:rPr>
          <w:rFonts w:ascii="Arial" w:hAnsi="Arial" w:cs="Arial"/>
          <w:color w:val="000000" w:themeColor="text1"/>
          <w:lang w:eastAsia="es-ES"/>
        </w:rPr>
      </w:pPr>
    </w:p>
    <w:p w14:paraId="6955834F" w14:textId="77777777" w:rsidR="00445035" w:rsidRPr="007F439C" w:rsidRDefault="00445035" w:rsidP="00BC4A8A">
      <w:pPr>
        <w:autoSpaceDE w:val="0"/>
        <w:autoSpaceDN w:val="0"/>
        <w:adjustRightInd w:val="0"/>
        <w:ind w:left="-567" w:right="-799"/>
        <w:jc w:val="both"/>
        <w:rPr>
          <w:rFonts w:ascii="Arial" w:hAnsi="Arial" w:cs="Arial"/>
          <w:color w:val="000000" w:themeColor="text1"/>
        </w:rPr>
      </w:pPr>
    </w:p>
    <w:p w14:paraId="2C84D8F9" w14:textId="3787ADC6" w:rsidR="00BC4A8A" w:rsidRPr="007F439C" w:rsidRDefault="00BC4A8A" w:rsidP="00BC4A8A">
      <w:pPr>
        <w:autoSpaceDE w:val="0"/>
        <w:autoSpaceDN w:val="0"/>
        <w:adjustRightInd w:val="0"/>
        <w:ind w:left="-567" w:right="-799"/>
        <w:jc w:val="center"/>
        <w:rPr>
          <w:rFonts w:ascii="Arial" w:hAnsi="Arial" w:cs="Arial"/>
          <w:color w:val="000000" w:themeColor="text1"/>
          <w:lang w:val="es-ES"/>
        </w:rPr>
      </w:pPr>
      <w:r w:rsidRPr="007F439C">
        <w:rPr>
          <w:rFonts w:ascii="Arial" w:hAnsi="Arial" w:cs="Arial"/>
          <w:color w:val="000000" w:themeColor="text1"/>
          <w:lang w:val="es-ES"/>
        </w:rPr>
        <w:t>En ejercicio de las facultades Constitucionales y Legales, en especial las previstas en el numeral 11 del artículo 189 de la Constitución Política y en</w:t>
      </w:r>
      <w:r w:rsidR="008440B9" w:rsidRPr="007F439C">
        <w:rPr>
          <w:rFonts w:ascii="Arial" w:hAnsi="Arial" w:cs="Arial"/>
          <w:color w:val="000000" w:themeColor="text1"/>
          <w:lang w:val="es-ES"/>
        </w:rPr>
        <w:t xml:space="preserve"> desarrollo de lo previsto en</w:t>
      </w:r>
      <w:r w:rsidRPr="007F439C">
        <w:rPr>
          <w:rFonts w:ascii="Arial" w:hAnsi="Arial" w:cs="Arial"/>
          <w:color w:val="000000" w:themeColor="text1"/>
          <w:lang w:val="es-ES"/>
        </w:rPr>
        <w:t xml:space="preserve"> la Ley 2070 de 2020, y</w:t>
      </w:r>
    </w:p>
    <w:p w14:paraId="6F272EDE" w14:textId="109B5FD1" w:rsidR="00561887" w:rsidRPr="007F439C" w:rsidRDefault="00561887" w:rsidP="00BC4A8A">
      <w:pPr>
        <w:autoSpaceDE w:val="0"/>
        <w:autoSpaceDN w:val="0"/>
        <w:adjustRightInd w:val="0"/>
        <w:ind w:left="-567" w:right="-799"/>
        <w:rPr>
          <w:rFonts w:ascii="Arial" w:eastAsia="Calibri" w:hAnsi="Arial" w:cs="Arial"/>
          <w:color w:val="000000" w:themeColor="text1"/>
        </w:rPr>
      </w:pPr>
    </w:p>
    <w:p w14:paraId="33B7A0E7" w14:textId="77777777" w:rsidR="00445035" w:rsidRPr="007F439C" w:rsidRDefault="00445035" w:rsidP="00BC4A8A">
      <w:pPr>
        <w:autoSpaceDE w:val="0"/>
        <w:autoSpaceDN w:val="0"/>
        <w:adjustRightInd w:val="0"/>
        <w:ind w:left="-567" w:right="-799"/>
        <w:rPr>
          <w:rFonts w:ascii="Arial" w:eastAsia="Calibri" w:hAnsi="Arial" w:cs="Arial"/>
          <w:color w:val="000000" w:themeColor="text1"/>
        </w:rPr>
      </w:pPr>
    </w:p>
    <w:p w14:paraId="4D3E002C" w14:textId="466D0432" w:rsidR="00561887" w:rsidRPr="007F439C" w:rsidRDefault="00561887" w:rsidP="00BC4A8A">
      <w:pPr>
        <w:autoSpaceDE w:val="0"/>
        <w:autoSpaceDN w:val="0"/>
        <w:adjustRightInd w:val="0"/>
        <w:ind w:left="-567" w:right="-799"/>
        <w:jc w:val="center"/>
        <w:rPr>
          <w:rFonts w:ascii="Arial" w:hAnsi="Arial" w:cs="Arial"/>
          <w:b/>
          <w:bCs/>
          <w:color w:val="000000" w:themeColor="text1"/>
          <w:lang w:eastAsia="es-ES"/>
        </w:rPr>
      </w:pPr>
      <w:r w:rsidRPr="007F439C">
        <w:rPr>
          <w:rFonts w:ascii="Arial" w:hAnsi="Arial" w:cs="Arial"/>
          <w:b/>
          <w:bCs/>
          <w:color w:val="000000" w:themeColor="text1"/>
          <w:lang w:eastAsia="es-ES"/>
        </w:rPr>
        <w:t>CONSIDERANDO:</w:t>
      </w:r>
    </w:p>
    <w:p w14:paraId="5F46C1BC" w14:textId="77777777" w:rsidR="00CE7E3A" w:rsidRPr="007F439C" w:rsidRDefault="00CE7E3A" w:rsidP="00BC4A8A">
      <w:pPr>
        <w:autoSpaceDE w:val="0"/>
        <w:autoSpaceDN w:val="0"/>
        <w:adjustRightInd w:val="0"/>
        <w:ind w:left="-567" w:right="-799"/>
        <w:jc w:val="both"/>
        <w:rPr>
          <w:rFonts w:ascii="Arial" w:hAnsi="Arial" w:cs="Arial"/>
          <w:b/>
          <w:bCs/>
          <w:color w:val="000000" w:themeColor="text1"/>
          <w:lang w:eastAsia="es-ES"/>
        </w:rPr>
      </w:pPr>
    </w:p>
    <w:p w14:paraId="3ECA1A3F" w14:textId="77777777" w:rsidR="00BC4A8A" w:rsidRPr="007F439C" w:rsidRDefault="00BC4A8A" w:rsidP="00BC4A8A">
      <w:pPr>
        <w:autoSpaceDE w:val="0"/>
        <w:autoSpaceDN w:val="0"/>
        <w:adjustRightInd w:val="0"/>
        <w:ind w:left="-567" w:right="-799"/>
        <w:jc w:val="both"/>
        <w:rPr>
          <w:rFonts w:ascii="Arial" w:hAnsi="Arial" w:cs="Arial"/>
          <w:bCs/>
          <w:color w:val="000000" w:themeColor="text1"/>
          <w:lang w:eastAsia="es-ES"/>
        </w:rPr>
      </w:pPr>
      <w:r w:rsidRPr="007F439C">
        <w:rPr>
          <w:rFonts w:ascii="Arial" w:hAnsi="Arial" w:cs="Arial"/>
          <w:bCs/>
          <w:color w:val="000000" w:themeColor="text1"/>
          <w:lang w:eastAsia="es-ES"/>
        </w:rPr>
        <w:t xml:space="preserve">Que el artículo 70 de la Constitución Política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w:t>
      </w:r>
    </w:p>
    <w:p w14:paraId="6B224DFC" w14:textId="77777777" w:rsidR="008440B9" w:rsidRPr="007F439C" w:rsidRDefault="008440B9" w:rsidP="00BC4A8A">
      <w:pPr>
        <w:autoSpaceDE w:val="0"/>
        <w:autoSpaceDN w:val="0"/>
        <w:adjustRightInd w:val="0"/>
        <w:ind w:left="-567" w:right="-799"/>
        <w:jc w:val="both"/>
        <w:rPr>
          <w:rFonts w:ascii="Arial" w:hAnsi="Arial" w:cs="Arial"/>
          <w:bCs/>
          <w:color w:val="000000" w:themeColor="text1"/>
          <w:lang w:eastAsia="es-ES"/>
        </w:rPr>
      </w:pPr>
    </w:p>
    <w:p w14:paraId="6A5DBD8C" w14:textId="77777777" w:rsidR="00BC4A8A" w:rsidRPr="007F439C" w:rsidRDefault="00BC4A8A" w:rsidP="00BC4A8A">
      <w:pPr>
        <w:autoSpaceDE w:val="0"/>
        <w:autoSpaceDN w:val="0"/>
        <w:adjustRightInd w:val="0"/>
        <w:ind w:left="-567" w:right="-799"/>
        <w:jc w:val="both"/>
        <w:rPr>
          <w:rFonts w:ascii="Arial" w:hAnsi="Arial" w:cs="Arial"/>
          <w:bCs/>
          <w:color w:val="000000" w:themeColor="text1"/>
          <w:lang w:eastAsia="es-ES"/>
        </w:rPr>
      </w:pPr>
      <w:r w:rsidRPr="007F439C">
        <w:rPr>
          <w:rFonts w:ascii="Arial" w:hAnsi="Arial" w:cs="Arial"/>
          <w:bCs/>
          <w:color w:val="000000" w:themeColor="text1"/>
          <w:lang w:eastAsia="es-ES"/>
        </w:rPr>
        <w:t>Que de acuerdo con el artículo constitucional citado, el Estado debe promover la investigación, la ciencia, el desarrollo y la difusión de los valores culturales de la Nación.</w:t>
      </w:r>
    </w:p>
    <w:p w14:paraId="1E169A36" w14:textId="77777777" w:rsidR="008440B9" w:rsidRPr="007F439C" w:rsidRDefault="008440B9" w:rsidP="00BC4A8A">
      <w:pPr>
        <w:autoSpaceDE w:val="0"/>
        <w:autoSpaceDN w:val="0"/>
        <w:adjustRightInd w:val="0"/>
        <w:ind w:left="-567" w:right="-799"/>
        <w:jc w:val="both"/>
        <w:rPr>
          <w:rFonts w:ascii="Arial" w:hAnsi="Arial" w:cs="Arial"/>
          <w:bCs/>
          <w:color w:val="000000" w:themeColor="text1"/>
          <w:lang w:eastAsia="es-ES"/>
        </w:rPr>
      </w:pPr>
    </w:p>
    <w:p w14:paraId="293D9BD2" w14:textId="79F77556" w:rsidR="00BC4A8A" w:rsidRPr="007F439C" w:rsidRDefault="00BC4A8A" w:rsidP="007F439C">
      <w:pPr>
        <w:autoSpaceDE w:val="0"/>
        <w:autoSpaceDN w:val="0"/>
        <w:adjustRightInd w:val="0"/>
        <w:ind w:left="-567" w:right="-799"/>
        <w:jc w:val="both"/>
        <w:rPr>
          <w:rFonts w:ascii="Arial" w:hAnsi="Arial" w:cs="Arial"/>
          <w:bCs/>
          <w:color w:val="000000" w:themeColor="text1"/>
          <w:lang w:eastAsia="es-ES"/>
        </w:rPr>
      </w:pPr>
      <w:r w:rsidRPr="007F439C">
        <w:rPr>
          <w:rFonts w:ascii="Arial" w:hAnsi="Arial" w:cs="Arial"/>
          <w:bCs/>
          <w:color w:val="000000" w:themeColor="text1"/>
          <w:lang w:eastAsia="es-ES"/>
        </w:rPr>
        <w:t>Que la Ley 2070 del 31 de diciembre de 2020 dictó medidas para la reactivación y fortalecimiento del sector cultura</w:t>
      </w:r>
      <w:r w:rsidR="00C5294E">
        <w:rPr>
          <w:rFonts w:ascii="Arial" w:hAnsi="Arial" w:cs="Arial"/>
          <w:bCs/>
          <w:color w:val="000000" w:themeColor="text1"/>
          <w:lang w:eastAsia="es-ES"/>
        </w:rPr>
        <w:t xml:space="preserve">, </w:t>
      </w:r>
      <w:r w:rsidRPr="007F439C">
        <w:rPr>
          <w:rFonts w:ascii="Arial" w:hAnsi="Arial" w:cs="Arial"/>
          <w:bCs/>
          <w:color w:val="000000" w:themeColor="text1"/>
          <w:lang w:eastAsia="es-ES"/>
        </w:rPr>
        <w:t>cre</w:t>
      </w:r>
      <w:r w:rsidR="007F439C" w:rsidRPr="007F439C">
        <w:rPr>
          <w:rFonts w:ascii="Arial" w:hAnsi="Arial" w:cs="Arial"/>
          <w:bCs/>
          <w:color w:val="000000" w:themeColor="text1"/>
          <w:lang w:eastAsia="es-ES"/>
        </w:rPr>
        <w:t>a</w:t>
      </w:r>
      <w:r w:rsidR="00C5294E">
        <w:rPr>
          <w:rFonts w:ascii="Arial" w:hAnsi="Arial" w:cs="Arial"/>
          <w:bCs/>
          <w:color w:val="000000" w:themeColor="text1"/>
          <w:lang w:eastAsia="es-ES"/>
        </w:rPr>
        <w:t>ndo</w:t>
      </w:r>
      <w:r w:rsidRPr="007F439C">
        <w:rPr>
          <w:rFonts w:ascii="Arial" w:hAnsi="Arial" w:cs="Arial"/>
          <w:bCs/>
          <w:color w:val="000000" w:themeColor="text1"/>
          <w:lang w:eastAsia="es-ES"/>
        </w:rPr>
        <w:t xml:space="preserve"> el Fondo para la Promoción del Patrimonio, la Cultura, las Artes y la Creatividad – FONCULTURA</w:t>
      </w:r>
      <w:r w:rsidR="00C5294E">
        <w:rPr>
          <w:rFonts w:ascii="Arial" w:hAnsi="Arial" w:cs="Arial"/>
          <w:bCs/>
          <w:color w:val="000000" w:themeColor="text1"/>
          <w:lang w:eastAsia="es-ES"/>
        </w:rPr>
        <w:t xml:space="preserve"> y</w:t>
      </w:r>
      <w:r w:rsidR="007F439C" w:rsidRPr="007F439C">
        <w:rPr>
          <w:rFonts w:ascii="Arial" w:hAnsi="Arial" w:cs="Arial"/>
          <w:bCs/>
          <w:color w:val="000000" w:themeColor="text1"/>
          <w:lang w:eastAsia="es-ES"/>
        </w:rPr>
        <w:t xml:space="preserve"> modific</w:t>
      </w:r>
      <w:r w:rsidR="00C5294E">
        <w:rPr>
          <w:rFonts w:ascii="Arial" w:hAnsi="Arial" w:cs="Arial"/>
          <w:bCs/>
          <w:color w:val="000000" w:themeColor="text1"/>
          <w:lang w:eastAsia="es-ES"/>
        </w:rPr>
        <w:t>ando</w:t>
      </w:r>
      <w:r w:rsidR="007F439C" w:rsidRPr="007F439C">
        <w:rPr>
          <w:rFonts w:ascii="Arial" w:hAnsi="Arial" w:cs="Arial"/>
          <w:bCs/>
          <w:color w:val="000000" w:themeColor="text1"/>
          <w:lang w:eastAsia="es-ES"/>
        </w:rPr>
        <w:t xml:space="preserve"> unas normas de la Ley 1493 de 2011</w:t>
      </w:r>
      <w:r w:rsidR="00C5294E">
        <w:rPr>
          <w:rFonts w:ascii="Arial" w:hAnsi="Arial" w:cs="Arial"/>
          <w:bCs/>
          <w:color w:val="000000" w:themeColor="text1"/>
          <w:lang w:eastAsia="es-ES"/>
        </w:rPr>
        <w:t>,</w:t>
      </w:r>
      <w:r w:rsidR="007F439C" w:rsidRPr="007F439C">
        <w:rPr>
          <w:rFonts w:ascii="Arial" w:hAnsi="Arial" w:cs="Arial"/>
          <w:bCs/>
          <w:color w:val="000000" w:themeColor="text1"/>
          <w:lang w:eastAsia="es-ES"/>
        </w:rPr>
        <w:t xml:space="preserve"> “Por la cual se toman medidas para formalizar el sector del espectáculo público de las artes escénicas, se otorgan competencias de inspección, vigilancia y control sobre las sociedades de gestión colectiva y se dictan otras disposiciones.”.</w:t>
      </w:r>
    </w:p>
    <w:p w14:paraId="5A69A892" w14:textId="2274CFFE" w:rsidR="007F439C" w:rsidRPr="007F439C" w:rsidRDefault="007F439C" w:rsidP="007F439C">
      <w:pPr>
        <w:autoSpaceDE w:val="0"/>
        <w:autoSpaceDN w:val="0"/>
        <w:adjustRightInd w:val="0"/>
        <w:ind w:left="-567" w:right="-799"/>
        <w:jc w:val="both"/>
        <w:rPr>
          <w:rFonts w:ascii="Arial" w:hAnsi="Arial" w:cs="Arial"/>
          <w:bCs/>
          <w:color w:val="000000" w:themeColor="text1"/>
          <w:lang w:eastAsia="es-ES"/>
        </w:rPr>
      </w:pPr>
    </w:p>
    <w:p w14:paraId="555C4CA3" w14:textId="29BDD590" w:rsidR="007F439C" w:rsidRPr="007F439C" w:rsidRDefault="00BC4A8A" w:rsidP="00BC4A8A">
      <w:pPr>
        <w:autoSpaceDE w:val="0"/>
        <w:autoSpaceDN w:val="0"/>
        <w:adjustRightInd w:val="0"/>
        <w:ind w:left="-567" w:right="-799"/>
        <w:jc w:val="both"/>
        <w:rPr>
          <w:rFonts w:ascii="Arial" w:hAnsi="Arial" w:cs="Arial"/>
          <w:bCs/>
          <w:color w:val="000000" w:themeColor="text1"/>
          <w:lang w:val="es-ES" w:eastAsia="es-ES"/>
        </w:rPr>
      </w:pPr>
      <w:r w:rsidRPr="007F439C">
        <w:rPr>
          <w:rFonts w:ascii="Arial" w:hAnsi="Arial" w:cs="Arial"/>
          <w:bCs/>
          <w:color w:val="000000" w:themeColor="text1"/>
          <w:lang w:val="es-ES" w:eastAsia="es-ES"/>
        </w:rPr>
        <w:t xml:space="preserve">Que la Ley 2070 de 2020 </w:t>
      </w:r>
      <w:r w:rsidR="007F439C" w:rsidRPr="007F439C">
        <w:rPr>
          <w:rFonts w:ascii="Arial" w:hAnsi="Arial" w:cs="Arial"/>
          <w:bCs/>
          <w:color w:val="000000" w:themeColor="text1"/>
          <w:lang w:val="es-ES" w:eastAsia="es-ES"/>
        </w:rPr>
        <w:t xml:space="preserve">señaló un periodo de ejecución de los recursos de la contribución parafiscal creada en la Ley 1493 de 2011, pudiendo ejecutarse estos desde el momento de la recepción del giro realizado por el Ministerio de Cultura y hasta la vigencia fiscal siguiente a la transferencia. Adicional a lo anterior, le señala un plazo adicional de un año mas para la utilización de los recursos. </w:t>
      </w:r>
    </w:p>
    <w:p w14:paraId="72B6AE7B" w14:textId="65509539" w:rsidR="007F439C" w:rsidRPr="007F439C" w:rsidRDefault="007F439C" w:rsidP="00BC4A8A">
      <w:pPr>
        <w:autoSpaceDE w:val="0"/>
        <w:autoSpaceDN w:val="0"/>
        <w:adjustRightInd w:val="0"/>
        <w:ind w:left="-567" w:right="-799"/>
        <w:jc w:val="both"/>
        <w:rPr>
          <w:rFonts w:ascii="Arial" w:hAnsi="Arial" w:cs="Arial"/>
          <w:bCs/>
          <w:color w:val="000000" w:themeColor="text1"/>
          <w:lang w:val="es-ES" w:eastAsia="es-ES"/>
        </w:rPr>
      </w:pPr>
    </w:p>
    <w:p w14:paraId="5F79A550" w14:textId="0D97E537" w:rsidR="007F439C" w:rsidRPr="007F439C" w:rsidRDefault="007F439C" w:rsidP="00BC4A8A">
      <w:pPr>
        <w:autoSpaceDE w:val="0"/>
        <w:autoSpaceDN w:val="0"/>
        <w:adjustRightInd w:val="0"/>
        <w:ind w:left="-567" w:right="-799"/>
        <w:jc w:val="both"/>
        <w:rPr>
          <w:rFonts w:ascii="Arial" w:hAnsi="Arial" w:cs="Arial"/>
          <w:bCs/>
          <w:color w:val="000000" w:themeColor="text1"/>
          <w:lang w:val="es-ES" w:eastAsia="es-ES"/>
        </w:rPr>
      </w:pPr>
      <w:r w:rsidRPr="007F439C">
        <w:rPr>
          <w:rFonts w:ascii="Arial" w:hAnsi="Arial" w:cs="Arial"/>
          <w:bCs/>
          <w:color w:val="000000" w:themeColor="text1"/>
          <w:lang w:val="es-ES" w:eastAsia="es-ES"/>
        </w:rPr>
        <w:t xml:space="preserve">Que la referida Ley estableció que en el evento de que las Entidades Territoriales no dispusieran del recurso correspondiente a la contribución parafiscal dentro del termino previsto en esta Ley, los mismos deberían ser reintegrados al Fondo para la Promoción del Patrimonio, la Cultura, las Artes y la Creatividad – FONCOLTURA, juntos con los rendimientos financieros. </w:t>
      </w:r>
    </w:p>
    <w:p w14:paraId="17411592" w14:textId="36E54A6C" w:rsidR="007F439C" w:rsidRPr="007F439C" w:rsidRDefault="007F439C" w:rsidP="00BC4A8A">
      <w:pPr>
        <w:autoSpaceDE w:val="0"/>
        <w:autoSpaceDN w:val="0"/>
        <w:adjustRightInd w:val="0"/>
        <w:ind w:left="-567" w:right="-799"/>
        <w:jc w:val="both"/>
        <w:rPr>
          <w:rFonts w:ascii="Arial" w:hAnsi="Arial" w:cs="Arial"/>
          <w:bCs/>
          <w:color w:val="000000" w:themeColor="text1"/>
          <w:lang w:val="es-ES" w:eastAsia="es-ES"/>
        </w:rPr>
      </w:pPr>
    </w:p>
    <w:p w14:paraId="10F17DDD" w14:textId="1C5DAFCE" w:rsidR="007F439C" w:rsidRPr="007F439C" w:rsidRDefault="007F439C" w:rsidP="007F439C">
      <w:pPr>
        <w:autoSpaceDE w:val="0"/>
        <w:autoSpaceDN w:val="0"/>
        <w:adjustRightInd w:val="0"/>
        <w:ind w:left="-567" w:right="-799"/>
        <w:jc w:val="both"/>
        <w:rPr>
          <w:rFonts w:ascii="Arial" w:hAnsi="Arial" w:cs="Arial"/>
          <w:bCs/>
          <w:color w:val="000000" w:themeColor="text1"/>
          <w:lang w:val="es-ES" w:eastAsia="es-ES"/>
        </w:rPr>
      </w:pPr>
      <w:r w:rsidRPr="007F439C">
        <w:rPr>
          <w:rFonts w:ascii="Arial" w:hAnsi="Arial" w:cs="Arial"/>
          <w:bCs/>
          <w:color w:val="000000" w:themeColor="text1"/>
          <w:lang w:val="es-ES" w:eastAsia="es-ES"/>
        </w:rPr>
        <w:t>Que en esta normatividad, se dispuso la consecuencia de la no ejecución de los recursos, señalando como fecha de corte para el reintegro respectivo, los días 30 de junio de cada año.</w:t>
      </w:r>
    </w:p>
    <w:p w14:paraId="21D2FB5A" w14:textId="77777777" w:rsidR="007F439C" w:rsidRPr="007F439C" w:rsidRDefault="007F439C" w:rsidP="007F439C">
      <w:pPr>
        <w:autoSpaceDE w:val="0"/>
        <w:autoSpaceDN w:val="0"/>
        <w:adjustRightInd w:val="0"/>
        <w:ind w:left="-567" w:right="-799"/>
        <w:jc w:val="both"/>
        <w:rPr>
          <w:rFonts w:ascii="Arial" w:hAnsi="Arial" w:cs="Arial"/>
          <w:bCs/>
          <w:color w:val="000000" w:themeColor="text1"/>
          <w:lang w:val="es-ES" w:eastAsia="es-ES"/>
        </w:rPr>
      </w:pPr>
    </w:p>
    <w:p w14:paraId="749F6141" w14:textId="34CDFF5D" w:rsidR="007F439C" w:rsidRPr="007F439C" w:rsidRDefault="00BC4A8A" w:rsidP="007F439C">
      <w:pPr>
        <w:autoSpaceDE w:val="0"/>
        <w:autoSpaceDN w:val="0"/>
        <w:adjustRightInd w:val="0"/>
        <w:ind w:left="-567" w:right="-799"/>
        <w:jc w:val="both"/>
        <w:rPr>
          <w:rFonts w:ascii="Arial" w:hAnsi="Arial" w:cs="Arial"/>
          <w:bCs/>
          <w:color w:val="000000" w:themeColor="text1"/>
          <w:lang w:val="es-ES" w:eastAsia="es-ES"/>
        </w:rPr>
      </w:pPr>
      <w:r w:rsidRPr="007F439C">
        <w:rPr>
          <w:rFonts w:ascii="Arial" w:hAnsi="Arial" w:cs="Arial"/>
          <w:bCs/>
          <w:color w:val="000000" w:themeColor="text1"/>
          <w:lang w:val="es-ES" w:eastAsia="es-ES"/>
        </w:rPr>
        <w:t>Que, de acuerdo con lo expuesto, se hace necesario</w:t>
      </w:r>
      <w:r w:rsidR="003073C6" w:rsidRPr="007F439C">
        <w:rPr>
          <w:rFonts w:ascii="Arial" w:hAnsi="Arial" w:cs="Arial"/>
          <w:bCs/>
          <w:color w:val="000000" w:themeColor="text1"/>
          <w:lang w:val="es-ES" w:eastAsia="es-ES"/>
        </w:rPr>
        <w:t xml:space="preserve"> adicionar el Decreto 1080 de 2015, Único Reglamentario del Sector Cultura, para incluir </w:t>
      </w:r>
      <w:r w:rsidR="00DF6C13" w:rsidRPr="007F439C">
        <w:rPr>
          <w:rFonts w:ascii="Arial" w:hAnsi="Arial" w:cs="Arial"/>
          <w:bCs/>
          <w:color w:val="000000" w:themeColor="text1"/>
          <w:lang w:val="es-ES" w:eastAsia="es-ES"/>
        </w:rPr>
        <w:t>la reglamentación de las</w:t>
      </w:r>
      <w:r w:rsidR="007F439C" w:rsidRPr="007F439C">
        <w:rPr>
          <w:rFonts w:ascii="Arial" w:hAnsi="Arial" w:cs="Arial"/>
          <w:bCs/>
          <w:color w:val="000000" w:themeColor="text1"/>
          <w:lang w:val="es-ES" w:eastAsia="es-ES"/>
        </w:rPr>
        <w:t xml:space="preserve"> definiciones pertinentes frente a los nuevos conceptos que se incorporan en la norma, así como los lineamientos y procedimientos que se deben seguir para los efectos de la ejecución de estos recursos parafiscales.  </w:t>
      </w:r>
    </w:p>
    <w:p w14:paraId="69999F92" w14:textId="77777777" w:rsidR="007F439C" w:rsidRPr="007F439C" w:rsidRDefault="007F439C" w:rsidP="007F439C">
      <w:pPr>
        <w:autoSpaceDE w:val="0"/>
        <w:autoSpaceDN w:val="0"/>
        <w:adjustRightInd w:val="0"/>
        <w:ind w:left="-567" w:right="-799"/>
        <w:jc w:val="both"/>
        <w:rPr>
          <w:rFonts w:ascii="Arial" w:hAnsi="Arial" w:cs="Arial"/>
          <w:bCs/>
          <w:color w:val="000000" w:themeColor="text1"/>
          <w:lang w:val="es-ES" w:eastAsia="es-ES"/>
        </w:rPr>
      </w:pPr>
    </w:p>
    <w:p w14:paraId="44BF25B8" w14:textId="5DCA5432" w:rsidR="00BC4A8A" w:rsidRPr="007F439C" w:rsidRDefault="00BC4A8A" w:rsidP="007F439C">
      <w:pPr>
        <w:autoSpaceDE w:val="0"/>
        <w:autoSpaceDN w:val="0"/>
        <w:adjustRightInd w:val="0"/>
        <w:ind w:left="-567" w:right="-799"/>
        <w:jc w:val="both"/>
        <w:rPr>
          <w:rFonts w:ascii="Arial" w:hAnsi="Arial" w:cs="Arial"/>
          <w:bCs/>
          <w:color w:val="000000" w:themeColor="text1"/>
          <w:lang w:val="es-ES" w:eastAsia="es-ES"/>
        </w:rPr>
      </w:pPr>
      <w:r w:rsidRPr="007F439C">
        <w:rPr>
          <w:rFonts w:ascii="Arial" w:hAnsi="Arial" w:cs="Arial"/>
          <w:bCs/>
          <w:color w:val="000000" w:themeColor="text1"/>
          <w:lang w:val="es-ES" w:eastAsia="es-ES"/>
        </w:rPr>
        <w:t xml:space="preserve"> </w:t>
      </w:r>
    </w:p>
    <w:p w14:paraId="196B82E4" w14:textId="77777777" w:rsidR="008440B9" w:rsidRPr="007F439C" w:rsidRDefault="008440B9" w:rsidP="00DF6C13">
      <w:pPr>
        <w:autoSpaceDE w:val="0"/>
        <w:autoSpaceDN w:val="0"/>
        <w:adjustRightInd w:val="0"/>
        <w:ind w:right="-799"/>
        <w:rPr>
          <w:rFonts w:ascii="Arial" w:hAnsi="Arial" w:cs="Arial"/>
          <w:b/>
          <w:bCs/>
          <w:color w:val="000000" w:themeColor="text1"/>
          <w:lang w:eastAsia="es-ES"/>
        </w:rPr>
      </w:pPr>
    </w:p>
    <w:p w14:paraId="4C891202" w14:textId="363E51A1" w:rsidR="008440B9" w:rsidRPr="007F439C" w:rsidRDefault="008440B9" w:rsidP="008440B9">
      <w:pPr>
        <w:ind w:left="-567" w:right="-799"/>
        <w:jc w:val="both"/>
        <w:rPr>
          <w:rFonts w:ascii="Arial" w:hAnsi="Arial" w:cs="Arial"/>
          <w:color w:val="000000" w:themeColor="text1"/>
        </w:rPr>
      </w:pPr>
      <w:r w:rsidRPr="007F439C">
        <w:rPr>
          <w:rFonts w:ascii="Arial" w:hAnsi="Arial" w:cs="Arial"/>
          <w:color w:val="000000" w:themeColor="text1"/>
        </w:rPr>
        <w:lastRenderedPageBreak/>
        <w:t xml:space="preserve">Que el proyecto de </w:t>
      </w:r>
      <w:r w:rsidR="00C5294E">
        <w:rPr>
          <w:rFonts w:ascii="Arial" w:hAnsi="Arial" w:cs="Arial"/>
          <w:color w:val="000000" w:themeColor="text1"/>
        </w:rPr>
        <w:t>D</w:t>
      </w:r>
      <w:r w:rsidRPr="007F439C">
        <w:rPr>
          <w:rFonts w:ascii="Arial" w:hAnsi="Arial" w:cs="Arial"/>
          <w:color w:val="000000" w:themeColor="text1"/>
        </w:rPr>
        <w:t xml:space="preserve">ecreto fue publicado en </w:t>
      </w:r>
      <w:r w:rsidR="00DF6C13" w:rsidRPr="007F439C">
        <w:rPr>
          <w:rFonts w:ascii="Arial" w:hAnsi="Arial" w:cs="Arial"/>
          <w:color w:val="000000" w:themeColor="text1"/>
        </w:rPr>
        <w:t>la página</w:t>
      </w:r>
      <w:r w:rsidRPr="007F439C">
        <w:rPr>
          <w:rFonts w:ascii="Arial" w:hAnsi="Arial" w:cs="Arial"/>
          <w:color w:val="000000" w:themeColor="text1"/>
        </w:rPr>
        <w:t xml:space="preserve"> web del Ministerio de Cultura, en cumplimiento de lo dispuesto en el numeral 8 del artículo 8 del Código de Procedimiento Administrativo y de lo Contencioso Administrativo y el artículo 2.1.2.1.14. del Decreto 1081 de 2015, Decreto Único Reglamentario de la Presidencia de la República, modificado por el artículo 2 del Decreto 1273 de 2020.</w:t>
      </w:r>
    </w:p>
    <w:p w14:paraId="7416E493" w14:textId="77777777" w:rsidR="00BC4A8A" w:rsidRPr="007F439C" w:rsidRDefault="00BC4A8A" w:rsidP="00BC4A8A">
      <w:pPr>
        <w:autoSpaceDE w:val="0"/>
        <w:autoSpaceDN w:val="0"/>
        <w:adjustRightInd w:val="0"/>
        <w:ind w:left="-567" w:right="-799"/>
        <w:jc w:val="both"/>
        <w:rPr>
          <w:rFonts w:ascii="Arial" w:hAnsi="Arial" w:cs="Arial"/>
          <w:bCs/>
          <w:color w:val="000000" w:themeColor="text1"/>
          <w:lang w:val="es-ES" w:eastAsia="es-ES"/>
        </w:rPr>
      </w:pPr>
    </w:p>
    <w:p w14:paraId="2D4BC859" w14:textId="0B175418" w:rsidR="00BC4A8A" w:rsidRPr="007F439C" w:rsidRDefault="008440B9" w:rsidP="00BC4A8A">
      <w:pPr>
        <w:autoSpaceDE w:val="0"/>
        <w:autoSpaceDN w:val="0"/>
        <w:adjustRightInd w:val="0"/>
        <w:ind w:left="-567" w:right="-799"/>
        <w:jc w:val="both"/>
        <w:rPr>
          <w:rFonts w:ascii="Arial" w:hAnsi="Arial" w:cs="Arial"/>
          <w:bCs/>
          <w:color w:val="000000" w:themeColor="text1"/>
          <w:lang w:val="es-ES" w:eastAsia="es-ES"/>
        </w:rPr>
      </w:pPr>
      <w:r w:rsidRPr="007F439C">
        <w:rPr>
          <w:rFonts w:ascii="Arial" w:hAnsi="Arial" w:cs="Arial"/>
          <w:bCs/>
          <w:color w:val="000000" w:themeColor="text1"/>
          <w:lang w:val="es-ES" w:eastAsia="es-ES"/>
        </w:rPr>
        <w:t>E</w:t>
      </w:r>
      <w:r w:rsidR="00BC4A8A" w:rsidRPr="007F439C">
        <w:rPr>
          <w:rFonts w:ascii="Arial" w:hAnsi="Arial" w:cs="Arial"/>
          <w:bCs/>
          <w:color w:val="000000" w:themeColor="text1"/>
          <w:lang w:val="es-ES" w:eastAsia="es-ES"/>
        </w:rPr>
        <w:t>n mérito de lo expuesto,</w:t>
      </w:r>
    </w:p>
    <w:p w14:paraId="10DF3574" w14:textId="77777777" w:rsidR="00445035" w:rsidRPr="007F439C" w:rsidRDefault="00445035" w:rsidP="00DF6C13">
      <w:pPr>
        <w:ind w:right="-799"/>
        <w:rPr>
          <w:rFonts w:ascii="Arial" w:hAnsi="Arial" w:cs="Arial"/>
          <w:b/>
          <w:color w:val="000000" w:themeColor="text1"/>
          <w:lang w:eastAsia="es-ES"/>
        </w:rPr>
      </w:pPr>
    </w:p>
    <w:p w14:paraId="39DAC004" w14:textId="77777777" w:rsidR="00C5294E" w:rsidRDefault="00561887" w:rsidP="00C5294E">
      <w:pPr>
        <w:ind w:left="-567" w:right="-799"/>
        <w:jc w:val="center"/>
        <w:rPr>
          <w:rFonts w:ascii="Arial" w:hAnsi="Arial" w:cs="Arial"/>
          <w:b/>
          <w:color w:val="000000" w:themeColor="text1"/>
          <w:lang w:eastAsia="es-ES"/>
        </w:rPr>
      </w:pPr>
      <w:r w:rsidRPr="007F439C">
        <w:rPr>
          <w:rFonts w:ascii="Arial" w:hAnsi="Arial" w:cs="Arial"/>
          <w:b/>
          <w:color w:val="000000" w:themeColor="text1"/>
          <w:lang w:eastAsia="es-ES"/>
        </w:rPr>
        <w:t>DECRETA</w:t>
      </w:r>
    </w:p>
    <w:p w14:paraId="19C00F21" w14:textId="77777777" w:rsidR="00C5294E" w:rsidRDefault="00C5294E" w:rsidP="00C5294E">
      <w:pPr>
        <w:ind w:left="-567" w:right="-799"/>
        <w:rPr>
          <w:rFonts w:ascii="Arial" w:hAnsi="Arial" w:cs="Arial"/>
          <w:b/>
          <w:color w:val="000000" w:themeColor="text1"/>
          <w:lang w:eastAsia="es-ES"/>
        </w:rPr>
      </w:pPr>
    </w:p>
    <w:p w14:paraId="4F840D18" w14:textId="15F3EFD1" w:rsidR="00C5294E" w:rsidRPr="00C5294E" w:rsidRDefault="007F439C" w:rsidP="00C5294E">
      <w:pPr>
        <w:ind w:left="-567" w:right="-799"/>
        <w:jc w:val="both"/>
        <w:rPr>
          <w:rFonts w:ascii="Arial" w:eastAsia="Calibri" w:hAnsi="Arial" w:cs="Arial"/>
        </w:rPr>
      </w:pPr>
      <w:r w:rsidRPr="00C5294E">
        <w:rPr>
          <w:rFonts w:ascii="Arial" w:eastAsia="Calibri" w:hAnsi="Arial" w:cs="Arial"/>
          <w:b/>
          <w:bCs/>
        </w:rPr>
        <w:t xml:space="preserve">ARTÍCULO </w:t>
      </w:r>
      <w:r w:rsidR="00561887" w:rsidRPr="00C5294E">
        <w:rPr>
          <w:rFonts w:ascii="Arial" w:eastAsia="Calibri" w:hAnsi="Arial" w:cs="Arial"/>
          <w:b/>
          <w:bCs/>
        </w:rPr>
        <w:t>1</w:t>
      </w:r>
      <w:r w:rsidRPr="00C5294E">
        <w:rPr>
          <w:rFonts w:ascii="Arial" w:eastAsia="Calibri" w:hAnsi="Arial" w:cs="Arial"/>
          <w:b/>
          <w:bCs/>
        </w:rPr>
        <w:t>º</w:t>
      </w:r>
      <w:r w:rsidR="00CA11AE" w:rsidRPr="00C5294E">
        <w:rPr>
          <w:rFonts w:ascii="Arial" w:eastAsia="Calibri" w:hAnsi="Arial" w:cs="Arial"/>
          <w:b/>
          <w:bCs/>
        </w:rPr>
        <w:t>.</w:t>
      </w:r>
      <w:r w:rsidR="00CA11AE" w:rsidRPr="00C5294E">
        <w:rPr>
          <w:rFonts w:ascii="Arial" w:eastAsia="Calibri" w:hAnsi="Arial" w:cs="Arial"/>
        </w:rPr>
        <w:t xml:space="preserve"> </w:t>
      </w:r>
      <w:r w:rsidR="00C5294E" w:rsidRPr="00C5294E">
        <w:rPr>
          <w:rFonts w:ascii="Arial" w:eastAsia="Calibri" w:hAnsi="Arial" w:cs="Arial"/>
        </w:rPr>
        <w:t>Incluyase dos def</w:t>
      </w:r>
      <w:r w:rsidR="00C5294E">
        <w:rPr>
          <w:rFonts w:ascii="Arial" w:eastAsia="Calibri" w:hAnsi="Arial" w:cs="Arial"/>
        </w:rPr>
        <w:t>i</w:t>
      </w:r>
      <w:r w:rsidR="00C5294E" w:rsidRPr="00C5294E">
        <w:rPr>
          <w:rFonts w:ascii="Arial" w:eastAsia="Calibri" w:hAnsi="Arial" w:cs="Arial"/>
        </w:rPr>
        <w:t>niciones al artículo 2.9.2.4.2</w:t>
      </w:r>
      <w:r w:rsidR="00C5294E">
        <w:rPr>
          <w:rFonts w:ascii="Arial" w:eastAsia="Calibri" w:hAnsi="Arial" w:cs="Arial"/>
        </w:rPr>
        <w:t xml:space="preserve"> del Decreto 1080 de 2015 y modifiquese el paragrafo 2. </w:t>
      </w:r>
    </w:p>
    <w:p w14:paraId="449A9B75" w14:textId="3BC0CBBE" w:rsidR="007F439C" w:rsidRPr="007F439C" w:rsidRDefault="007F439C" w:rsidP="00C5294E">
      <w:pPr>
        <w:ind w:right="-799"/>
        <w:jc w:val="both"/>
        <w:rPr>
          <w:rFonts w:ascii="Arial" w:eastAsia="Calibri" w:hAnsi="Arial" w:cs="Arial"/>
          <w:b/>
          <w:bCs/>
        </w:rPr>
      </w:pPr>
    </w:p>
    <w:p w14:paraId="32D04AA3" w14:textId="287C8FAF" w:rsidR="007F439C" w:rsidRPr="00C5294E" w:rsidRDefault="00C5294E" w:rsidP="007F439C">
      <w:pPr>
        <w:ind w:left="-567" w:right="-799"/>
        <w:jc w:val="both"/>
        <w:rPr>
          <w:rFonts w:ascii="Arial" w:eastAsia="Calibri" w:hAnsi="Arial" w:cs="Arial"/>
        </w:rPr>
      </w:pPr>
      <w:r>
        <w:rPr>
          <w:rFonts w:ascii="Arial" w:eastAsia="Calibri" w:hAnsi="Arial" w:cs="Arial"/>
        </w:rPr>
        <w:t xml:space="preserve">5. </w:t>
      </w:r>
      <w:r w:rsidR="007F439C" w:rsidRPr="00C5294E">
        <w:rPr>
          <w:rFonts w:ascii="Arial" w:eastAsia="Calibri" w:hAnsi="Arial" w:cs="Arial"/>
        </w:rPr>
        <w:t xml:space="preserve">Producción: Es el desarrollo de contenidos dirigidos a la realización de espectáculos públicos de las artes escénicas, comprendidos de acuerdo con lo establecido en el literal </w:t>
      </w:r>
      <w:r w:rsidR="007F439C" w:rsidRPr="00C5294E">
        <w:rPr>
          <w:rFonts w:ascii="Arial" w:eastAsia="Calibri" w:hAnsi="Arial" w:cs="Arial"/>
          <w:i/>
          <w:iCs/>
        </w:rPr>
        <w:t>a)</w:t>
      </w:r>
      <w:r w:rsidR="007F439C" w:rsidRPr="00C5294E">
        <w:rPr>
          <w:rFonts w:ascii="Arial" w:eastAsia="Calibri" w:hAnsi="Arial" w:cs="Arial"/>
        </w:rPr>
        <w:t xml:space="preserve"> del artículo 3° de la Ley 1493 de 2011.</w:t>
      </w:r>
    </w:p>
    <w:p w14:paraId="5E421E71" w14:textId="77777777" w:rsidR="007F439C" w:rsidRPr="00C5294E" w:rsidRDefault="007F439C" w:rsidP="007F439C">
      <w:pPr>
        <w:ind w:left="-567" w:right="-799"/>
        <w:jc w:val="both"/>
        <w:rPr>
          <w:rFonts w:ascii="Arial" w:eastAsia="Calibri" w:hAnsi="Arial" w:cs="Arial"/>
        </w:rPr>
      </w:pPr>
    </w:p>
    <w:p w14:paraId="64BD2ACF" w14:textId="4D663A0E" w:rsidR="007F439C" w:rsidRDefault="00C5294E" w:rsidP="007F439C">
      <w:pPr>
        <w:ind w:left="-567" w:right="-799"/>
        <w:jc w:val="both"/>
        <w:rPr>
          <w:rFonts w:ascii="Arial" w:eastAsia="Calibri" w:hAnsi="Arial" w:cs="Arial"/>
        </w:rPr>
      </w:pPr>
      <w:r>
        <w:rPr>
          <w:rFonts w:ascii="Arial" w:eastAsia="Calibri" w:hAnsi="Arial" w:cs="Arial"/>
        </w:rPr>
        <w:t xml:space="preserve">6. </w:t>
      </w:r>
      <w:r w:rsidR="007F439C" w:rsidRPr="00C5294E">
        <w:rPr>
          <w:rFonts w:ascii="Arial" w:eastAsia="Calibri" w:hAnsi="Arial" w:cs="Arial"/>
        </w:rPr>
        <w:t>Circulación:</w:t>
      </w:r>
      <w:r w:rsidR="007F439C" w:rsidRPr="007F439C">
        <w:rPr>
          <w:rFonts w:ascii="Arial" w:eastAsia="Calibri" w:hAnsi="Arial" w:cs="Arial"/>
          <w:b/>
          <w:bCs/>
        </w:rPr>
        <w:t xml:space="preserve"> </w:t>
      </w:r>
      <w:r w:rsidR="007F439C" w:rsidRPr="007F439C">
        <w:rPr>
          <w:rFonts w:ascii="Arial" w:eastAsia="Calibri" w:hAnsi="Arial" w:cs="Arial"/>
        </w:rPr>
        <w:t xml:space="preserve">Son las actividades de gestión y puesta en escena de contenidos desarrollados para la presentación de los espectáculos públicos de las artes escénicas, comprendidos de acuerdo con lo establecido en el literal </w:t>
      </w:r>
      <w:r w:rsidR="007F439C" w:rsidRPr="007F439C">
        <w:rPr>
          <w:rFonts w:ascii="Arial" w:eastAsia="Calibri" w:hAnsi="Arial" w:cs="Arial"/>
          <w:i/>
          <w:iCs/>
        </w:rPr>
        <w:t>a)</w:t>
      </w:r>
      <w:r w:rsidR="007F439C" w:rsidRPr="007F439C">
        <w:rPr>
          <w:rFonts w:ascii="Arial" w:eastAsia="Calibri" w:hAnsi="Arial" w:cs="Arial"/>
        </w:rPr>
        <w:t xml:space="preserve"> del artículo 3° de la Ley 1493 de 2011.</w:t>
      </w:r>
    </w:p>
    <w:p w14:paraId="65CDFB8F" w14:textId="2A3879F0" w:rsidR="00C5294E" w:rsidRDefault="00C5294E" w:rsidP="007F439C">
      <w:pPr>
        <w:ind w:left="-567" w:right="-799"/>
        <w:jc w:val="both"/>
        <w:rPr>
          <w:rFonts w:ascii="Arial" w:eastAsia="Calibri" w:hAnsi="Arial" w:cs="Arial"/>
        </w:rPr>
      </w:pPr>
    </w:p>
    <w:p w14:paraId="562052E2" w14:textId="77777777" w:rsidR="00C5294E" w:rsidRPr="007F439C" w:rsidRDefault="00C5294E" w:rsidP="00C5294E">
      <w:pPr>
        <w:ind w:left="-567" w:right="-799"/>
        <w:jc w:val="both"/>
        <w:rPr>
          <w:rFonts w:ascii="Arial" w:eastAsia="Calibri" w:hAnsi="Arial" w:cs="Arial"/>
        </w:rPr>
      </w:pPr>
      <w:r w:rsidRPr="007F439C">
        <w:rPr>
          <w:rFonts w:ascii="Arial" w:eastAsia="Calibri" w:hAnsi="Arial" w:cs="Arial"/>
        </w:rPr>
        <w:t>P</w:t>
      </w:r>
      <w:r>
        <w:rPr>
          <w:rFonts w:ascii="Arial" w:eastAsia="Calibri" w:hAnsi="Arial" w:cs="Arial"/>
        </w:rPr>
        <w:t>arágrafo</w:t>
      </w:r>
      <w:r w:rsidRPr="007F439C">
        <w:rPr>
          <w:rFonts w:ascii="Arial" w:eastAsia="Calibri" w:hAnsi="Arial" w:cs="Arial"/>
        </w:rPr>
        <w:t xml:space="preserve"> 2°.</w:t>
      </w:r>
      <w:r w:rsidRPr="007F439C">
        <w:rPr>
          <w:rFonts w:ascii="Arial" w:eastAsia="Calibri" w:hAnsi="Arial" w:cs="Arial"/>
          <w:b/>
          <w:bCs/>
        </w:rPr>
        <w:t xml:space="preserve">  </w:t>
      </w:r>
      <w:r w:rsidRPr="007F439C">
        <w:rPr>
          <w:rFonts w:ascii="Arial" w:eastAsia="Calibri" w:hAnsi="Arial" w:cs="Arial"/>
        </w:rPr>
        <w:t>La ejecución de los recursos de la contribución parafiscal podrá incluir los estudios técnicos requeridos, de conformidad con lo previsto en este decreto.</w:t>
      </w:r>
    </w:p>
    <w:p w14:paraId="16C24A3A" w14:textId="77777777" w:rsidR="007F439C" w:rsidRPr="007F439C" w:rsidRDefault="007F439C" w:rsidP="00C5294E">
      <w:pPr>
        <w:ind w:right="-799"/>
        <w:jc w:val="both"/>
        <w:rPr>
          <w:rFonts w:ascii="Arial" w:hAnsi="Arial" w:cs="Arial"/>
          <w:b/>
          <w:color w:val="000000" w:themeColor="text1"/>
          <w:lang w:eastAsia="es-ES"/>
        </w:rPr>
      </w:pPr>
    </w:p>
    <w:p w14:paraId="54AA3A18" w14:textId="1EE10AF0" w:rsidR="00284ABB" w:rsidRPr="007F439C" w:rsidRDefault="007F439C" w:rsidP="007F439C">
      <w:pPr>
        <w:ind w:left="-567" w:right="-799"/>
        <w:jc w:val="both"/>
        <w:rPr>
          <w:rFonts w:ascii="Arial" w:eastAsia="Calibri" w:hAnsi="Arial" w:cs="Arial"/>
          <w:lang w:eastAsia="en-US"/>
        </w:rPr>
      </w:pPr>
      <w:r w:rsidRPr="007F439C">
        <w:rPr>
          <w:rFonts w:ascii="Arial" w:hAnsi="Arial" w:cs="Arial"/>
          <w:b/>
          <w:color w:val="000000" w:themeColor="text1"/>
          <w:lang w:eastAsia="es-ES"/>
        </w:rPr>
        <w:t>A</w:t>
      </w:r>
      <w:r>
        <w:rPr>
          <w:rFonts w:ascii="Arial" w:hAnsi="Arial" w:cs="Arial"/>
          <w:b/>
          <w:color w:val="000000" w:themeColor="text1"/>
          <w:lang w:eastAsia="es-ES"/>
        </w:rPr>
        <w:t>RTÍCULO</w:t>
      </w:r>
      <w:r w:rsidRPr="007F439C">
        <w:rPr>
          <w:rFonts w:ascii="Arial" w:hAnsi="Arial" w:cs="Arial"/>
          <w:b/>
          <w:color w:val="000000" w:themeColor="text1"/>
          <w:lang w:eastAsia="es-ES"/>
        </w:rPr>
        <w:t xml:space="preserve"> 2</w:t>
      </w:r>
      <w:r>
        <w:rPr>
          <w:rFonts w:ascii="Arial" w:hAnsi="Arial" w:cs="Arial"/>
          <w:b/>
          <w:color w:val="000000" w:themeColor="text1"/>
          <w:lang w:eastAsia="es-ES"/>
        </w:rPr>
        <w:t>º</w:t>
      </w:r>
      <w:r w:rsidRPr="007F439C">
        <w:rPr>
          <w:rFonts w:ascii="Arial" w:hAnsi="Arial" w:cs="Arial"/>
          <w:b/>
          <w:color w:val="000000" w:themeColor="text1"/>
          <w:lang w:eastAsia="es-ES"/>
        </w:rPr>
        <w:t xml:space="preserve">. </w:t>
      </w:r>
      <w:r w:rsidRPr="007F439C">
        <w:rPr>
          <w:rFonts w:ascii="Arial" w:hAnsi="Arial" w:cs="Arial"/>
          <w:bCs/>
          <w:color w:val="000000" w:themeColor="text1"/>
          <w:lang w:eastAsia="es-ES"/>
        </w:rPr>
        <w:t>Modifi</w:t>
      </w:r>
      <w:r w:rsidR="00C5294E">
        <w:rPr>
          <w:rFonts w:ascii="Arial" w:hAnsi="Arial" w:cs="Arial"/>
          <w:bCs/>
          <w:color w:val="000000" w:themeColor="text1"/>
          <w:lang w:eastAsia="es-ES"/>
        </w:rPr>
        <w:t>quese</w:t>
      </w:r>
      <w:r w:rsidRPr="007F439C">
        <w:rPr>
          <w:rFonts w:ascii="Arial" w:hAnsi="Arial" w:cs="Arial"/>
          <w:bCs/>
          <w:color w:val="000000" w:themeColor="text1"/>
          <w:lang w:eastAsia="es-ES"/>
        </w:rPr>
        <w:t xml:space="preserve"> el artículo 2.9.2.4.3 del Decreto 1080 de 2015 </w:t>
      </w:r>
      <w:r w:rsidR="00C72CF1" w:rsidRPr="007F439C">
        <w:rPr>
          <w:rFonts w:ascii="Arial" w:hAnsi="Arial" w:cs="Arial"/>
          <w:bCs/>
          <w:color w:val="000000" w:themeColor="text1"/>
          <w:lang w:eastAsia="es-ES"/>
        </w:rPr>
        <w:t>,</w:t>
      </w:r>
      <w:r w:rsidR="00F4187E" w:rsidRPr="007F439C">
        <w:rPr>
          <w:rFonts w:ascii="Arial" w:hAnsi="Arial" w:cs="Arial"/>
          <w:bCs/>
          <w:color w:val="000000" w:themeColor="text1"/>
          <w:lang w:eastAsia="es-ES"/>
        </w:rPr>
        <w:t xml:space="preserve"> </w:t>
      </w:r>
      <w:r w:rsidR="008440B9" w:rsidRPr="007F439C">
        <w:rPr>
          <w:rFonts w:ascii="Arial" w:hAnsi="Arial" w:cs="Arial"/>
          <w:bCs/>
          <w:color w:val="000000" w:themeColor="text1"/>
          <w:lang w:eastAsia="es-ES"/>
        </w:rPr>
        <w:t>el cual</w:t>
      </w:r>
      <w:r w:rsidR="00EB4E1A" w:rsidRPr="007F439C">
        <w:rPr>
          <w:rFonts w:ascii="Arial" w:hAnsi="Arial" w:cs="Arial"/>
          <w:bCs/>
          <w:color w:val="000000" w:themeColor="text1"/>
          <w:lang w:eastAsia="es-ES"/>
        </w:rPr>
        <w:t xml:space="preserve"> quedará </w:t>
      </w:r>
      <w:r w:rsidR="00F4187E" w:rsidRPr="007F439C">
        <w:rPr>
          <w:rFonts w:ascii="Arial" w:hAnsi="Arial" w:cs="Arial"/>
          <w:bCs/>
          <w:color w:val="000000" w:themeColor="text1"/>
          <w:lang w:eastAsia="es-ES"/>
        </w:rPr>
        <w:t>así:</w:t>
      </w:r>
    </w:p>
    <w:p w14:paraId="5A2557F7" w14:textId="77777777" w:rsidR="007F439C" w:rsidRPr="007F439C" w:rsidRDefault="007F439C" w:rsidP="007F439C">
      <w:pPr>
        <w:ind w:right="-799"/>
        <w:jc w:val="both"/>
        <w:rPr>
          <w:rFonts w:ascii="Arial" w:hAnsi="Arial" w:cs="Arial"/>
          <w:bCs/>
          <w:color w:val="000000" w:themeColor="text1"/>
          <w:lang w:eastAsia="es-ES"/>
        </w:rPr>
      </w:pPr>
    </w:p>
    <w:p w14:paraId="4FBF295F" w14:textId="048155C7" w:rsidR="007F439C" w:rsidRDefault="007F439C" w:rsidP="007F439C">
      <w:pPr>
        <w:ind w:left="-567" w:right="-799"/>
        <w:jc w:val="both"/>
        <w:rPr>
          <w:rFonts w:ascii="Arial" w:eastAsia="Calibri" w:hAnsi="Arial" w:cs="Arial"/>
        </w:rPr>
      </w:pPr>
      <w:r w:rsidRPr="007F439C">
        <w:rPr>
          <w:rFonts w:ascii="Arial" w:eastAsia="Calibri" w:hAnsi="Arial" w:cs="Arial"/>
          <w:b/>
          <w:bCs/>
        </w:rPr>
        <w:t>A</w:t>
      </w:r>
      <w:r>
        <w:rPr>
          <w:rFonts w:ascii="Arial" w:eastAsia="Calibri" w:hAnsi="Arial" w:cs="Arial"/>
          <w:b/>
          <w:bCs/>
        </w:rPr>
        <w:t>rtículo</w:t>
      </w:r>
      <w:r w:rsidRPr="007F439C">
        <w:rPr>
          <w:rFonts w:ascii="Arial" w:eastAsia="Calibri" w:hAnsi="Arial" w:cs="Arial"/>
          <w:b/>
          <w:bCs/>
        </w:rPr>
        <w:t xml:space="preserve"> 2.9.2.4.3. </w:t>
      </w:r>
      <w:r w:rsidRPr="007F439C">
        <w:rPr>
          <w:rFonts w:ascii="Arial" w:eastAsia="Calibri" w:hAnsi="Arial" w:cs="Arial"/>
        </w:rPr>
        <w:t>Lineamientos para la ejecución de los recursos de la contribución parafiscal de los espectáculos públicos de las artes escénicas en las entidades territoriales. Las entidades responsables de cultura encargadas de ejecutar los recursos de la contribución parafiscal a nivel municipal y distrital, seguirán los siguientes lineamientos en la asignación de la contribución parafiscal de los espectáculos públicos de las artes escénicas de su respectiva jurisdicción, de acuerdo con las líneas y asignación de recursos establecidos en el artículo 12 de la Ley 2070 de 2020, así:</w:t>
      </w:r>
    </w:p>
    <w:p w14:paraId="70C45562" w14:textId="77777777" w:rsidR="00C5294E" w:rsidRPr="007F439C" w:rsidRDefault="00C5294E" w:rsidP="007F439C">
      <w:pPr>
        <w:ind w:left="-567" w:right="-799"/>
        <w:jc w:val="both"/>
        <w:rPr>
          <w:rFonts w:ascii="Arial" w:eastAsia="Calibri" w:hAnsi="Arial" w:cs="Arial"/>
        </w:rPr>
      </w:pPr>
    </w:p>
    <w:p w14:paraId="73A2F7C0" w14:textId="370C919D" w:rsidR="007F439C" w:rsidRDefault="007F439C" w:rsidP="007F439C">
      <w:pPr>
        <w:ind w:left="-567" w:right="-799"/>
        <w:jc w:val="both"/>
        <w:rPr>
          <w:rFonts w:ascii="Arial" w:eastAsia="Calibri" w:hAnsi="Arial" w:cs="Arial"/>
          <w:u w:val="single"/>
        </w:rPr>
      </w:pPr>
      <w:r w:rsidRPr="007F439C">
        <w:rPr>
          <w:rFonts w:ascii="Arial" w:eastAsia="Calibri" w:hAnsi="Arial" w:cs="Arial"/>
          <w:u w:val="single"/>
        </w:rPr>
        <w:t>1. Comités de la Contribución Parafiscal Cultural de los Espectáculos Públicos de las Artes Escénicas</w:t>
      </w:r>
    </w:p>
    <w:p w14:paraId="783B1537" w14:textId="77777777" w:rsidR="00C5294E" w:rsidRPr="007F439C" w:rsidRDefault="00C5294E" w:rsidP="007F439C">
      <w:pPr>
        <w:ind w:left="-567" w:right="-799"/>
        <w:jc w:val="both"/>
        <w:rPr>
          <w:rFonts w:ascii="Arial" w:eastAsia="Calibri" w:hAnsi="Arial" w:cs="Arial"/>
          <w:u w:val="single"/>
        </w:rPr>
      </w:pPr>
    </w:p>
    <w:p w14:paraId="4E078393" w14:textId="4A7BADD0" w:rsidR="007F439C" w:rsidRPr="007F439C" w:rsidRDefault="007F439C" w:rsidP="007F439C">
      <w:pPr>
        <w:ind w:left="-567" w:right="-799"/>
        <w:jc w:val="both"/>
        <w:rPr>
          <w:rFonts w:ascii="Arial" w:eastAsia="Calibri" w:hAnsi="Arial" w:cs="Arial"/>
        </w:rPr>
      </w:pPr>
      <w:r w:rsidRPr="007F439C">
        <w:rPr>
          <w:rFonts w:ascii="Arial" w:eastAsia="Calibri" w:hAnsi="Arial" w:cs="Arial"/>
        </w:rPr>
        <w:t>Los municipios y/o distritos conformarán en su jurisdicción una instancia denominada Comité de la Contribución Parafiscal de los Espectáculos Públicos de las Artes Escénicas, la cual tendrá a su cargo definir en cada vigencia, la línea de inversión (</w:t>
      </w:r>
      <w:r w:rsidRPr="007F439C">
        <w:rPr>
          <w:rFonts w:ascii="Arial" w:eastAsia="Calibri" w:hAnsi="Arial" w:cs="Arial"/>
          <w:i/>
          <w:iCs/>
        </w:rPr>
        <w:t>Línea A: Infraestructura y/o Línea B: Producción y Circulación</w:t>
      </w:r>
      <w:r w:rsidRPr="007F439C">
        <w:rPr>
          <w:rFonts w:ascii="Arial" w:eastAsia="Calibri" w:hAnsi="Arial" w:cs="Arial"/>
        </w:rPr>
        <w:t xml:space="preserve">) y el monto de los recursos de la contribución parafiscal destinados a cada una de estas. </w:t>
      </w:r>
    </w:p>
    <w:p w14:paraId="6CCA3398" w14:textId="77777777" w:rsidR="00C5294E" w:rsidRDefault="00C5294E" w:rsidP="007F439C">
      <w:pPr>
        <w:ind w:left="-567" w:right="-799"/>
        <w:jc w:val="both"/>
        <w:rPr>
          <w:rFonts w:ascii="Arial" w:eastAsia="Calibri" w:hAnsi="Arial" w:cs="Arial"/>
        </w:rPr>
      </w:pPr>
    </w:p>
    <w:p w14:paraId="114F7DF0" w14:textId="0B343461" w:rsidR="007F439C" w:rsidRPr="007F439C" w:rsidRDefault="007F439C" w:rsidP="007F439C">
      <w:pPr>
        <w:ind w:left="-567" w:right="-799"/>
        <w:jc w:val="both"/>
        <w:rPr>
          <w:rFonts w:ascii="Arial" w:eastAsia="Calibri" w:hAnsi="Arial" w:cs="Arial"/>
        </w:rPr>
      </w:pPr>
      <w:r w:rsidRPr="007F439C">
        <w:rPr>
          <w:rFonts w:ascii="Arial" w:eastAsia="Calibri" w:hAnsi="Arial" w:cs="Arial"/>
        </w:rPr>
        <w:t>Así mismo, indicará cuales son los proyectos beneficiarios de los recursos de la contribución parafiscal cultural, previa revisión del cumplimiento de los requisitos legales y técnicos establecidos en este decreto y en la reglamentación de asignación de los recursos vigente en cada municipio o distrito. Esta revisión estará a cargo de la entidad responsable de cultura en la alcaldía municipal o distrital, de lo cual deberá dejar las constancias de los procesos de selección.</w:t>
      </w:r>
    </w:p>
    <w:p w14:paraId="319F2A5E" w14:textId="5EC031B1" w:rsidR="007F439C" w:rsidRPr="007F439C" w:rsidRDefault="007F439C" w:rsidP="007F439C">
      <w:pPr>
        <w:ind w:left="-567" w:right="-799"/>
        <w:jc w:val="both"/>
        <w:rPr>
          <w:rFonts w:ascii="Arial" w:eastAsia="Calibri" w:hAnsi="Arial" w:cs="Arial"/>
        </w:rPr>
      </w:pPr>
      <w:r w:rsidRPr="007F439C">
        <w:rPr>
          <w:rFonts w:ascii="Arial" w:eastAsia="Calibri" w:hAnsi="Arial" w:cs="Arial"/>
        </w:rPr>
        <w:t>Los Comités de la Contribución Parafiscal de los Espectáculos Públicos de las Artes Escénicas estarán compuestos mínimo por: (i) el Alcalde del municipio o distrito, o su delegado, (ji) el Secretario de Hacienda o su delegado, (iii) el responsable de cultura en el municipio o distrito, o su delegado, (iv) un representante del Consejo de Cultura del respectivo municipio o distrito, (v) un representante de los productores de espectáculos públicos en el municipio o distrito y (vi) un representante local del sector del teatro, danza, música, circo o magia, con trayectoria demostrada en la realización de espectáculos públicos de las artes escénicas. En la constitución de los Comités de que habla este artículo, se garantizará la participación en igual medida de los representantes privados respecto de los públicos.</w:t>
      </w:r>
    </w:p>
    <w:p w14:paraId="03889429" w14:textId="77777777" w:rsidR="00C5294E" w:rsidRDefault="00C5294E" w:rsidP="007F439C">
      <w:pPr>
        <w:ind w:left="-567" w:right="-799"/>
        <w:jc w:val="both"/>
        <w:rPr>
          <w:rFonts w:ascii="Arial" w:eastAsia="Calibri" w:hAnsi="Arial" w:cs="Arial"/>
        </w:rPr>
      </w:pPr>
    </w:p>
    <w:p w14:paraId="42292B3E" w14:textId="242A3D90" w:rsidR="007F439C" w:rsidRPr="007F439C" w:rsidRDefault="007F439C" w:rsidP="007F439C">
      <w:pPr>
        <w:ind w:left="-567" w:right="-799"/>
        <w:jc w:val="both"/>
        <w:rPr>
          <w:rFonts w:ascii="Arial" w:eastAsia="Calibri" w:hAnsi="Arial" w:cs="Arial"/>
        </w:rPr>
      </w:pPr>
      <w:r w:rsidRPr="007F439C">
        <w:rPr>
          <w:rFonts w:ascii="Arial" w:eastAsia="Calibri" w:hAnsi="Arial" w:cs="Arial"/>
        </w:rPr>
        <w:lastRenderedPageBreak/>
        <w:t>El responsable de cultura en el municipio o distrito o su delegado tendrá a su cargo la secretaría técnica del Comité de que trata este artículo y dirimirá, con base en el interés general y en los principios de la Ley 1493 de 2011, cualquier decisión que no cuente con la mayoría suficiente</w:t>
      </w:r>
    </w:p>
    <w:p w14:paraId="406CD439" w14:textId="77777777" w:rsidR="007F439C" w:rsidRPr="007F439C" w:rsidRDefault="007F439C" w:rsidP="007F439C">
      <w:pPr>
        <w:ind w:left="-567" w:right="-799"/>
        <w:jc w:val="both"/>
        <w:rPr>
          <w:rFonts w:ascii="Arial" w:eastAsia="Calibri" w:hAnsi="Arial" w:cs="Arial"/>
        </w:rPr>
      </w:pPr>
      <w:r w:rsidRPr="007F439C">
        <w:rPr>
          <w:rFonts w:ascii="Arial" w:eastAsia="Calibri" w:hAnsi="Arial" w:cs="Arial"/>
        </w:rPr>
        <w:t>En cumplimiento de lo establecido en el artículo 12 de la Ley 2070 de 2020, los recursos de la contribución parafiscal de los espectáculos públicos de las artes escénicas se destinarán en la línea de infraestructura (</w:t>
      </w:r>
      <w:r w:rsidRPr="007F439C">
        <w:rPr>
          <w:rFonts w:ascii="Arial" w:eastAsia="Calibri" w:hAnsi="Arial" w:cs="Arial"/>
          <w:i/>
          <w:iCs/>
        </w:rPr>
        <w:t>construcción, adecuación, mejoramiento y dotación de la infraestructura de los escenarios para los espectáculos públicos de las artes escénicas</w:t>
      </w:r>
      <w:r w:rsidRPr="007F439C">
        <w:rPr>
          <w:rFonts w:ascii="Arial" w:eastAsia="Calibri" w:hAnsi="Arial" w:cs="Arial"/>
        </w:rPr>
        <w:t>) y/o en la línea de producción y circulación de acuerdo con las decisiones del Comité de la Contribución Parafiscal de los Espectáculos Públicos de las Artes Escénicas.</w:t>
      </w:r>
    </w:p>
    <w:p w14:paraId="41C379DE" w14:textId="77777777" w:rsidR="00C5294E" w:rsidRDefault="00C5294E" w:rsidP="007F439C">
      <w:pPr>
        <w:ind w:left="-567" w:right="-799"/>
        <w:jc w:val="both"/>
        <w:rPr>
          <w:rFonts w:ascii="Arial" w:eastAsia="Calibri" w:hAnsi="Arial" w:cs="Arial"/>
          <w:u w:val="single"/>
        </w:rPr>
      </w:pPr>
    </w:p>
    <w:p w14:paraId="2A165B5C" w14:textId="29A88A04" w:rsidR="007F439C" w:rsidRPr="007F439C" w:rsidRDefault="007F439C" w:rsidP="007F439C">
      <w:pPr>
        <w:ind w:left="-567" w:right="-799"/>
        <w:jc w:val="both"/>
        <w:rPr>
          <w:rFonts w:ascii="Arial" w:eastAsia="Calibri" w:hAnsi="Arial" w:cs="Arial"/>
          <w:u w:val="single"/>
        </w:rPr>
      </w:pPr>
      <w:r w:rsidRPr="007F439C">
        <w:rPr>
          <w:rFonts w:ascii="Arial" w:eastAsia="Calibri" w:hAnsi="Arial" w:cs="Arial"/>
          <w:u w:val="single"/>
        </w:rPr>
        <w:t>2. Uso Cultural del Escenario para Espectáculos Públicos de las Artes Escénicas</w:t>
      </w:r>
    </w:p>
    <w:p w14:paraId="0EE6BFC8" w14:textId="77777777" w:rsidR="00C5294E" w:rsidRDefault="00C5294E" w:rsidP="007F439C">
      <w:pPr>
        <w:ind w:left="-567" w:right="-799"/>
        <w:jc w:val="both"/>
        <w:rPr>
          <w:rFonts w:ascii="Arial" w:eastAsia="Calibri" w:hAnsi="Arial" w:cs="Arial"/>
        </w:rPr>
      </w:pPr>
    </w:p>
    <w:p w14:paraId="36BBAB4B" w14:textId="03271F41" w:rsidR="007F439C" w:rsidRPr="007F439C" w:rsidRDefault="007F439C" w:rsidP="007F439C">
      <w:pPr>
        <w:ind w:left="-567" w:right="-799"/>
        <w:jc w:val="both"/>
        <w:rPr>
          <w:rFonts w:ascii="Arial" w:eastAsia="Calibri" w:hAnsi="Arial" w:cs="Arial"/>
        </w:rPr>
      </w:pPr>
      <w:r w:rsidRPr="007F439C">
        <w:rPr>
          <w:rFonts w:ascii="Arial" w:eastAsia="Calibri" w:hAnsi="Arial" w:cs="Arial"/>
        </w:rPr>
        <w:t>Para la línea de infraestructura, el uso cultural de los escenarios para espectáculos públicos de las artes escénicas deberá permanecer por un período de mínimo diez (10) años a partir de la recepción de los recursos provenientes de la contribución parafiscal cultural por parte de la entidad responsable de cultura en el municipio o distrito. El propietario del inmueble se deberá comprometer por escrito, a través de documento elevado ante notario público, a mantener esta vocación por el tiempo señalado. El cambio de uso del escenario antes del período estipulado, dará lugar al reintegro por parte del propietario del escenario, de los recursos provenientes de la contribución parafiscal.</w:t>
      </w:r>
    </w:p>
    <w:p w14:paraId="5EFE8BE1" w14:textId="77777777" w:rsidR="00C5294E" w:rsidRDefault="00C5294E" w:rsidP="007F439C">
      <w:pPr>
        <w:ind w:left="-567" w:right="-799"/>
        <w:jc w:val="both"/>
        <w:rPr>
          <w:rFonts w:ascii="Arial" w:eastAsia="Calibri" w:hAnsi="Arial" w:cs="Arial"/>
        </w:rPr>
      </w:pPr>
    </w:p>
    <w:p w14:paraId="58A7320A" w14:textId="455813DB" w:rsidR="007F439C" w:rsidRPr="007F439C" w:rsidRDefault="007F439C" w:rsidP="007F439C">
      <w:pPr>
        <w:ind w:left="-567" w:right="-799"/>
        <w:jc w:val="both"/>
        <w:rPr>
          <w:rFonts w:ascii="Arial" w:eastAsia="Calibri" w:hAnsi="Arial" w:cs="Arial"/>
        </w:rPr>
      </w:pPr>
      <w:r w:rsidRPr="007F439C">
        <w:rPr>
          <w:rFonts w:ascii="Arial" w:eastAsia="Calibri" w:hAnsi="Arial" w:cs="Arial"/>
        </w:rPr>
        <w:t>Para el caso de escenarios móviles e itinerantes, las entidades responsables de cultura deberán verificar que el solicitante tiene el domicilio fiscal en el respectivo municipio o distrito; y establecerán los mínimos de programación que deberán cumplir estos escenarios en su jurisdicción, para lo cual solicitarán al beneficiario de la contribución parafiscal cultural las garantías que estimen pertinentes, tendientes a demostrar que los escenarios móviles y/o itinerantes cumplirán este requisito.</w:t>
      </w:r>
    </w:p>
    <w:p w14:paraId="1BF6D079" w14:textId="77777777" w:rsidR="00C5294E" w:rsidRDefault="00C5294E" w:rsidP="007F439C">
      <w:pPr>
        <w:ind w:left="-567" w:right="-799"/>
        <w:jc w:val="both"/>
        <w:rPr>
          <w:rFonts w:ascii="Arial" w:eastAsia="Calibri" w:hAnsi="Arial" w:cs="Arial"/>
        </w:rPr>
      </w:pPr>
    </w:p>
    <w:p w14:paraId="213782A6" w14:textId="66490FFA" w:rsidR="007F439C" w:rsidRPr="007F439C" w:rsidRDefault="007F439C" w:rsidP="007F439C">
      <w:pPr>
        <w:ind w:left="-567" w:right="-799"/>
        <w:jc w:val="both"/>
        <w:rPr>
          <w:rFonts w:ascii="Arial" w:eastAsia="Calibri" w:hAnsi="Arial" w:cs="Arial"/>
        </w:rPr>
      </w:pPr>
      <w:r w:rsidRPr="007F439C">
        <w:rPr>
          <w:rFonts w:ascii="Arial" w:eastAsia="Calibri" w:hAnsi="Arial" w:cs="Arial"/>
        </w:rPr>
        <w:t>Las entidades territoriales que dispongan recursos de la contribución parafiscal cultural en esta línea, priorizarán la inversión de los recursos en que los escenarios móviles e itinerantes cumplan los requisitos de seguridad humana en aspectos como la capacidad máxima de personas que pueden contener, los medios de evacuación de los asistentes y demás aspectos de seguridad contenidos en el plan de gestión del riesgo y estrategias de respuesta, de conformidad con lo establecido en el artículo 37 de la Ley 1523 de 2012 y las demás normas nacionales y territoriales pertinentes en la materia.</w:t>
      </w:r>
    </w:p>
    <w:p w14:paraId="6A27ACDE" w14:textId="77777777" w:rsidR="00C5294E" w:rsidRDefault="00C5294E" w:rsidP="007F439C">
      <w:pPr>
        <w:ind w:left="-567" w:right="-799"/>
        <w:jc w:val="both"/>
        <w:rPr>
          <w:rFonts w:ascii="Arial" w:eastAsia="Calibri" w:hAnsi="Arial" w:cs="Arial"/>
        </w:rPr>
      </w:pPr>
    </w:p>
    <w:p w14:paraId="699BEC0D" w14:textId="66A885F3" w:rsidR="007F439C" w:rsidRPr="007F439C" w:rsidRDefault="007F439C" w:rsidP="007F439C">
      <w:pPr>
        <w:ind w:left="-567" w:right="-799"/>
        <w:jc w:val="both"/>
        <w:rPr>
          <w:rFonts w:ascii="Arial" w:eastAsia="Calibri" w:hAnsi="Arial" w:cs="Arial"/>
        </w:rPr>
      </w:pPr>
      <w:r w:rsidRPr="007F439C">
        <w:rPr>
          <w:rFonts w:ascii="Arial" w:eastAsia="Calibri" w:hAnsi="Arial" w:cs="Arial"/>
        </w:rPr>
        <w:t>De igual modo, compete a las alcaldías verificar que los lugares donde se instalará este tipo de infraestructura cuentan con la debida licencia urbanística de intervención y ocupación del espacio público, la autorización o permiso para uso temporal del espacio público, de conformidad con lo establecido en el Decreto 1077 de 2015 y las demás normas nacionales y territoriales pertinentes en la materia.</w:t>
      </w:r>
    </w:p>
    <w:p w14:paraId="4C92E6C5" w14:textId="77777777" w:rsidR="00C5294E" w:rsidRDefault="00C5294E" w:rsidP="007F439C">
      <w:pPr>
        <w:ind w:left="-567" w:right="-799"/>
        <w:jc w:val="both"/>
        <w:rPr>
          <w:rFonts w:ascii="Arial" w:eastAsia="Calibri" w:hAnsi="Arial" w:cs="Arial"/>
          <w:u w:val="single"/>
        </w:rPr>
      </w:pPr>
    </w:p>
    <w:p w14:paraId="1DBB8F15" w14:textId="0F1FA894" w:rsidR="007F439C" w:rsidRPr="007F439C" w:rsidRDefault="007F439C" w:rsidP="007F439C">
      <w:pPr>
        <w:ind w:left="-567" w:right="-799"/>
        <w:jc w:val="both"/>
        <w:rPr>
          <w:rFonts w:ascii="Arial" w:eastAsia="Calibri" w:hAnsi="Arial" w:cs="Arial"/>
          <w:u w:val="single"/>
        </w:rPr>
      </w:pPr>
      <w:r w:rsidRPr="007F439C">
        <w:rPr>
          <w:rFonts w:ascii="Arial" w:eastAsia="Calibri" w:hAnsi="Arial" w:cs="Arial"/>
          <w:u w:val="single"/>
        </w:rPr>
        <w:t>3. Convocatoria</w:t>
      </w:r>
    </w:p>
    <w:p w14:paraId="6F8ECE29" w14:textId="77777777" w:rsidR="00C5294E" w:rsidRDefault="00C5294E" w:rsidP="007F439C">
      <w:pPr>
        <w:ind w:left="-567" w:right="-799"/>
        <w:jc w:val="both"/>
        <w:rPr>
          <w:rFonts w:ascii="Arial" w:eastAsia="Calibri" w:hAnsi="Arial" w:cs="Arial"/>
        </w:rPr>
      </w:pPr>
    </w:p>
    <w:p w14:paraId="3F6CE2BC" w14:textId="3AABE577" w:rsidR="007F439C" w:rsidRPr="007F439C" w:rsidRDefault="007F439C" w:rsidP="007F439C">
      <w:pPr>
        <w:ind w:left="-567" w:right="-799"/>
        <w:jc w:val="both"/>
        <w:rPr>
          <w:rFonts w:ascii="Arial" w:eastAsia="Calibri" w:hAnsi="Arial" w:cs="Arial"/>
        </w:rPr>
      </w:pPr>
      <w:r w:rsidRPr="007F439C">
        <w:rPr>
          <w:rFonts w:ascii="Arial" w:eastAsia="Calibri" w:hAnsi="Arial" w:cs="Arial"/>
        </w:rPr>
        <w:t>Las entidades responsables de cultura o entidades encargadas de ejecutar los recursos de la contribución parafiscal a nivel municipal y distrital, deberán abrir convocatoria pública en la(s) línea(s) de inversión (</w:t>
      </w:r>
      <w:r w:rsidRPr="007F439C">
        <w:rPr>
          <w:rFonts w:ascii="Arial" w:eastAsia="Calibri" w:hAnsi="Arial" w:cs="Arial"/>
          <w:i/>
          <w:iCs/>
        </w:rPr>
        <w:t>infraestructura y/o producción y circulación</w:t>
      </w:r>
      <w:r w:rsidRPr="007F439C">
        <w:rPr>
          <w:rFonts w:ascii="Arial" w:eastAsia="Calibri" w:hAnsi="Arial" w:cs="Arial"/>
        </w:rPr>
        <w:t xml:space="preserve">) donde participen los titulares de escenarios culturales de las artes escénicas de naturaleza privada o mixta para el caso de infraestructura y la población del sector cultural de las artes escénicas para el caso de producción y circulación, de acuerdo con las decisiones de los Comités de la Contribución Parafiscal de los Espectáculos Públicos de las Artes Escénicas. </w:t>
      </w:r>
    </w:p>
    <w:p w14:paraId="7C20E936" w14:textId="77777777" w:rsidR="00C5294E" w:rsidRDefault="00C5294E" w:rsidP="007F439C">
      <w:pPr>
        <w:ind w:left="-567" w:right="-799"/>
        <w:jc w:val="both"/>
        <w:rPr>
          <w:rFonts w:ascii="Arial" w:eastAsia="Calibri" w:hAnsi="Arial" w:cs="Arial"/>
        </w:rPr>
      </w:pPr>
    </w:p>
    <w:p w14:paraId="4F43126C" w14:textId="5487E31E" w:rsidR="007F439C" w:rsidRPr="007F439C" w:rsidRDefault="007F439C" w:rsidP="007F439C">
      <w:pPr>
        <w:ind w:left="-567" w:right="-799"/>
        <w:jc w:val="both"/>
        <w:rPr>
          <w:rFonts w:ascii="Arial" w:eastAsia="Calibri" w:hAnsi="Arial" w:cs="Arial"/>
        </w:rPr>
      </w:pPr>
      <w:r w:rsidRPr="007F439C">
        <w:rPr>
          <w:rFonts w:ascii="Arial" w:eastAsia="Calibri" w:hAnsi="Arial" w:cs="Arial"/>
        </w:rPr>
        <w:t>Para la línea de infraestructura se exceptúa de participar en la convocatoria a los escenarios de naturaleza pública, del orden nacional, departamental, municipal o distrital, caso en el cual el Comité de la Contribución Parafiscal de los Espectáculos Públicos de las Artes Escénicas definirá la participación de dichos escenarios en la asignación de los recursos de la contribución parafiscal en proyectos de inversión en infraestructura de las artes escénicas, atendiendo a lo establecido en la Ley 1493 de 2011, el presente Decreto y demás normas aplicables en la materia.</w:t>
      </w:r>
    </w:p>
    <w:p w14:paraId="297DD43F" w14:textId="77777777" w:rsidR="00C5294E" w:rsidRDefault="00C5294E" w:rsidP="007F439C">
      <w:pPr>
        <w:ind w:left="-567" w:right="-799"/>
        <w:jc w:val="both"/>
        <w:rPr>
          <w:rFonts w:ascii="Arial" w:eastAsia="Calibri" w:hAnsi="Arial" w:cs="Arial"/>
        </w:rPr>
      </w:pPr>
    </w:p>
    <w:p w14:paraId="5B26A80D" w14:textId="159FAB5D" w:rsidR="007F439C" w:rsidRPr="007F439C" w:rsidRDefault="007F439C" w:rsidP="007F439C">
      <w:pPr>
        <w:ind w:left="-567" w:right="-799"/>
        <w:jc w:val="both"/>
        <w:rPr>
          <w:rFonts w:ascii="Arial" w:eastAsia="Calibri" w:hAnsi="Arial" w:cs="Arial"/>
        </w:rPr>
      </w:pPr>
      <w:r w:rsidRPr="007F439C">
        <w:rPr>
          <w:rFonts w:ascii="Arial" w:eastAsia="Calibri" w:hAnsi="Arial" w:cs="Arial"/>
        </w:rPr>
        <w:t>En los municipios o distritos con un recaudo de contribución parafiscal de los espectáculos públicos de las artes escénicas en la vigencia fiscal inferior a 170 salarios mínimos legales mensuales vigentes -SMLMV-, no será necesaria la apertura de convocatoria pública y la ejecución de estos recursos deberá estar orientada a proyectos de mejoramiento, adecuación y/o dotación, según lo establecido en los numerales 2 y 3 del artículo 2.9.2.4.2. del Decreto 1080 de 2015. Si el municipio o distrito no cuenta con infraestructura de las artes escénicas pública ni privada, podrá invertir los recursos de la contribución parafiscal en la realización de estudios para la construcción de este tipo de escenarios.</w:t>
      </w:r>
    </w:p>
    <w:p w14:paraId="62FDD03D" w14:textId="77777777" w:rsidR="00C5294E" w:rsidRDefault="00C5294E" w:rsidP="007F439C">
      <w:pPr>
        <w:ind w:left="-567" w:right="-799"/>
        <w:jc w:val="both"/>
        <w:rPr>
          <w:rFonts w:ascii="Arial" w:eastAsia="Calibri" w:hAnsi="Arial" w:cs="Arial"/>
        </w:rPr>
      </w:pPr>
    </w:p>
    <w:p w14:paraId="7509ED5C" w14:textId="5B4436F9" w:rsidR="007F439C" w:rsidRPr="007F439C" w:rsidRDefault="007F439C" w:rsidP="007F439C">
      <w:pPr>
        <w:ind w:left="-567" w:right="-799"/>
        <w:jc w:val="both"/>
        <w:rPr>
          <w:rFonts w:ascii="Arial" w:eastAsia="Calibri" w:hAnsi="Arial" w:cs="Arial"/>
        </w:rPr>
      </w:pPr>
      <w:r w:rsidRPr="007F439C">
        <w:rPr>
          <w:rFonts w:ascii="Arial" w:eastAsia="Calibri" w:hAnsi="Arial" w:cs="Arial"/>
        </w:rPr>
        <w:t>Para la línea de producción y circulación, será el Comité de la Contribución Parafiscal Cultural de los Espectáculos de las Artes Escénicas, la instancia que establecerá los criterios para priorizar las sublíneas (</w:t>
      </w:r>
      <w:r w:rsidRPr="007F439C">
        <w:rPr>
          <w:rFonts w:ascii="Arial" w:eastAsia="Calibri" w:hAnsi="Arial" w:cs="Arial"/>
          <w:i/>
          <w:iCs/>
        </w:rPr>
        <w:t>producción y/o circulación</w:t>
      </w:r>
      <w:r w:rsidRPr="007F439C">
        <w:rPr>
          <w:rFonts w:ascii="Arial" w:eastAsia="Calibri" w:hAnsi="Arial" w:cs="Arial"/>
        </w:rPr>
        <w:t>) de la destinación en la asignación de recursos para los proyectos y deberá dejar las constancias del proceso de selección, de acuerdo con la asignación de recursos establecida en el artículo 12 de la Ley 2070 de 2020 que determina que los municipios y distritos con recaudo anual igual o superior a 200 salarios mínimos legales mensuales vigentes podrán invertir hasta un 30% del recaudo de la contribución parafiscal de las artes escénicas en actividades o proyectos que incentiven la producción y circulación de espectáculos públicos de las artes escénicas. (ii) Los municipios y distritos con recaudo anual inferior a 200 e igual o superior a 100 salarios mínimos legales mensuales vigentes podrán invertir hasta un 50% del recaudo de la contribución parafiscal de las artes escénicas en actividades o proyectos que incentiven la producción y circulación de espectáculos públicos de las artes escénicas. (iii) Los municipios con recaudo anual inferior a 100 salarios mínimos legales mensuales vigentes, podrán invertir hasta el 100% del recaudo en actividades o proyectos que incentiven la producción y circulación de espectáculos públicos de las artes escénicas.</w:t>
      </w:r>
    </w:p>
    <w:p w14:paraId="01D2C4F6" w14:textId="77777777" w:rsidR="00C5294E" w:rsidRDefault="00C5294E" w:rsidP="007F439C">
      <w:pPr>
        <w:ind w:left="-567" w:right="-799"/>
        <w:jc w:val="both"/>
        <w:rPr>
          <w:rFonts w:ascii="Arial" w:eastAsia="Calibri" w:hAnsi="Arial" w:cs="Arial"/>
          <w:u w:val="single"/>
        </w:rPr>
      </w:pPr>
    </w:p>
    <w:p w14:paraId="18E3DF2E" w14:textId="3E2A8F93" w:rsidR="007F439C" w:rsidRPr="007F439C" w:rsidRDefault="007F439C" w:rsidP="007F439C">
      <w:pPr>
        <w:ind w:left="-567" w:right="-799"/>
        <w:jc w:val="both"/>
        <w:rPr>
          <w:rFonts w:ascii="Arial" w:eastAsia="Calibri" w:hAnsi="Arial" w:cs="Arial"/>
          <w:u w:val="single"/>
        </w:rPr>
      </w:pPr>
      <w:r w:rsidRPr="007F439C">
        <w:rPr>
          <w:rFonts w:ascii="Arial" w:eastAsia="Calibri" w:hAnsi="Arial" w:cs="Arial"/>
          <w:u w:val="single"/>
        </w:rPr>
        <w:t>4. Formulación de los proyectos de las artes escénicas</w:t>
      </w:r>
    </w:p>
    <w:p w14:paraId="1B3495DD" w14:textId="77777777" w:rsidR="00C5294E" w:rsidRDefault="00C5294E" w:rsidP="007F439C">
      <w:pPr>
        <w:ind w:left="-567" w:right="-799"/>
        <w:jc w:val="both"/>
        <w:rPr>
          <w:rFonts w:ascii="Arial" w:eastAsia="Calibri" w:hAnsi="Arial" w:cs="Arial"/>
        </w:rPr>
      </w:pPr>
    </w:p>
    <w:p w14:paraId="78F5ABD1" w14:textId="0DDABA95" w:rsidR="007F439C" w:rsidRPr="007F439C" w:rsidRDefault="007F439C" w:rsidP="007F439C">
      <w:pPr>
        <w:ind w:left="-567" w:right="-799"/>
        <w:jc w:val="both"/>
        <w:rPr>
          <w:rFonts w:ascii="Arial" w:eastAsia="Calibri" w:hAnsi="Arial" w:cs="Arial"/>
        </w:rPr>
      </w:pPr>
      <w:r w:rsidRPr="007F439C">
        <w:rPr>
          <w:rFonts w:ascii="Arial" w:eastAsia="Calibri" w:hAnsi="Arial" w:cs="Arial"/>
        </w:rPr>
        <w:t>La solicitud para concursar en la asignación de recursos de la contribución parafiscal de los espectáculos públicos de las artes escénicas será presentada para cada proyecto para la línea de infraestructura por las organizaciones privadas o mixtas que participen del proceso de selección y para la línea de producción y circulación por las personas naturales y jurídicas con ánimo o sin ánimo de lucro del sector de las artes escénicas que participen del proceso de selección.</w:t>
      </w:r>
    </w:p>
    <w:p w14:paraId="22DF6057" w14:textId="77777777" w:rsidR="00C5294E" w:rsidRDefault="00C5294E" w:rsidP="007F439C">
      <w:pPr>
        <w:ind w:left="-567" w:right="-799"/>
        <w:jc w:val="both"/>
        <w:rPr>
          <w:rFonts w:ascii="Arial" w:eastAsia="Calibri" w:hAnsi="Arial" w:cs="Arial"/>
        </w:rPr>
      </w:pPr>
    </w:p>
    <w:p w14:paraId="03CD7567" w14:textId="4B65FE73" w:rsidR="007F439C" w:rsidRPr="007F439C" w:rsidRDefault="007F439C" w:rsidP="007F439C">
      <w:pPr>
        <w:ind w:left="-567" w:right="-799"/>
        <w:jc w:val="both"/>
        <w:rPr>
          <w:rFonts w:ascii="Arial" w:eastAsia="Calibri" w:hAnsi="Arial" w:cs="Arial"/>
        </w:rPr>
      </w:pPr>
      <w:r w:rsidRPr="007F439C">
        <w:rPr>
          <w:rFonts w:ascii="Arial" w:eastAsia="Calibri" w:hAnsi="Arial" w:cs="Arial"/>
        </w:rPr>
        <w:t>Los proyectos de infraestructura de las artes escénicas en escenarios de naturaleza pública y privada, deberán especificar la modalidad en la destinación de la contribución parafiscal: construcción, adecuación, mejoramiento y/o dotación de la infraestructura de los escenarios para los espectáculos públicos de las artes escénicas, según lo establecido en el artículo 2.9.2.4.2 del Decreto 1080 de 2015.</w:t>
      </w:r>
    </w:p>
    <w:p w14:paraId="320D310B" w14:textId="77777777" w:rsidR="00C5294E" w:rsidRDefault="00C5294E" w:rsidP="007F439C">
      <w:pPr>
        <w:ind w:left="-567" w:right="-799"/>
        <w:jc w:val="both"/>
        <w:rPr>
          <w:rFonts w:ascii="Arial" w:eastAsia="Calibri" w:hAnsi="Arial" w:cs="Arial"/>
        </w:rPr>
      </w:pPr>
    </w:p>
    <w:p w14:paraId="7C1DA949" w14:textId="6E7FA5EC" w:rsidR="007F439C" w:rsidRPr="007F439C" w:rsidRDefault="007F439C" w:rsidP="007F439C">
      <w:pPr>
        <w:ind w:left="-567" w:right="-799"/>
        <w:jc w:val="both"/>
        <w:rPr>
          <w:rFonts w:ascii="Arial" w:eastAsia="Calibri" w:hAnsi="Arial" w:cs="Arial"/>
        </w:rPr>
      </w:pPr>
      <w:r w:rsidRPr="007F439C">
        <w:rPr>
          <w:rFonts w:ascii="Arial" w:eastAsia="Calibri" w:hAnsi="Arial" w:cs="Arial"/>
        </w:rPr>
        <w:t>Las entidades responsables de cultura encargadas de ejecutar los recursos de la contribución parafiscal a nivel municipal y distrital podrán brindar la orientación técnica requerida para la formulación de los proyectos en cualquiera de la(s) línea(s) de inversión (</w:t>
      </w:r>
      <w:r w:rsidRPr="007F439C">
        <w:rPr>
          <w:rFonts w:ascii="Arial" w:eastAsia="Calibri" w:hAnsi="Arial" w:cs="Arial"/>
          <w:i/>
          <w:iCs/>
        </w:rPr>
        <w:t>infraestructura y/o producción y circulación</w:t>
      </w:r>
      <w:r w:rsidRPr="007F439C">
        <w:rPr>
          <w:rFonts w:ascii="Arial" w:eastAsia="Calibri" w:hAnsi="Arial" w:cs="Arial"/>
        </w:rPr>
        <w:t>) a quienes se encuentren interesados en participar en la asignación de los recursos, velando porque todos los proponentes e interesados de los proyectos tengan acceso a ésta en igualdad de condiciones.</w:t>
      </w:r>
    </w:p>
    <w:p w14:paraId="2ADFACF0" w14:textId="77777777" w:rsidR="00C5294E" w:rsidRDefault="00C5294E" w:rsidP="007F439C">
      <w:pPr>
        <w:ind w:left="-567" w:right="-799"/>
        <w:jc w:val="both"/>
        <w:rPr>
          <w:rFonts w:ascii="Arial" w:eastAsia="Calibri" w:hAnsi="Arial" w:cs="Arial"/>
          <w:u w:val="single"/>
        </w:rPr>
      </w:pPr>
    </w:p>
    <w:p w14:paraId="18F4508E" w14:textId="3F1F3276" w:rsidR="007F439C" w:rsidRPr="007F439C" w:rsidRDefault="007F439C" w:rsidP="007F439C">
      <w:pPr>
        <w:ind w:left="-567" w:right="-799"/>
        <w:jc w:val="both"/>
        <w:rPr>
          <w:rFonts w:ascii="Arial" w:eastAsia="Calibri" w:hAnsi="Arial" w:cs="Arial"/>
          <w:u w:val="single"/>
        </w:rPr>
      </w:pPr>
      <w:r w:rsidRPr="007F439C">
        <w:rPr>
          <w:rFonts w:ascii="Arial" w:eastAsia="Calibri" w:hAnsi="Arial" w:cs="Arial"/>
          <w:u w:val="single"/>
        </w:rPr>
        <w:t>5. Priorización en la asignación de los recursos de la contribución parafiscal de las artes escénicas</w:t>
      </w:r>
    </w:p>
    <w:p w14:paraId="5944A468" w14:textId="77777777" w:rsidR="00C5294E" w:rsidRDefault="00C5294E" w:rsidP="007F439C">
      <w:pPr>
        <w:ind w:left="-567" w:right="-799"/>
        <w:jc w:val="both"/>
        <w:rPr>
          <w:rFonts w:ascii="Arial" w:eastAsia="Calibri" w:hAnsi="Arial" w:cs="Arial"/>
        </w:rPr>
      </w:pPr>
    </w:p>
    <w:p w14:paraId="6FC314F3" w14:textId="61FA4562" w:rsidR="007F439C" w:rsidRPr="007F439C" w:rsidRDefault="007F439C" w:rsidP="007F439C">
      <w:pPr>
        <w:ind w:left="-567" w:right="-799"/>
        <w:jc w:val="both"/>
        <w:rPr>
          <w:rFonts w:ascii="Arial" w:eastAsia="Calibri" w:hAnsi="Arial" w:cs="Arial"/>
        </w:rPr>
      </w:pPr>
      <w:r w:rsidRPr="007F439C">
        <w:rPr>
          <w:rFonts w:ascii="Arial" w:eastAsia="Calibri" w:hAnsi="Arial" w:cs="Arial"/>
        </w:rPr>
        <w:t>El Comité de la Contribución Parafiscal de los Espectáculos Públicos de las Artes Escénicas establecerá los criterios para priorizar la(s) línea(s) de inversión (</w:t>
      </w:r>
      <w:r w:rsidRPr="007F439C">
        <w:rPr>
          <w:rFonts w:ascii="Arial" w:eastAsia="Calibri" w:hAnsi="Arial" w:cs="Arial"/>
          <w:i/>
          <w:iCs/>
        </w:rPr>
        <w:t>infraestructura y/o producción y circulación</w:t>
      </w:r>
      <w:r w:rsidRPr="007F439C">
        <w:rPr>
          <w:rFonts w:ascii="Arial" w:eastAsia="Calibri" w:hAnsi="Arial" w:cs="Arial"/>
        </w:rPr>
        <w:t>) de la destinación específica en la asignación de los recursos de la contribución parafiscal cultural de los espectáculos públicos de las artes escénicas y dejará las constancias del proceso de selección, atendiendo los principios de la función administrativa de que trata el artículo 209 de la Constitución nacional, y que a su vez garanticen la selección objetiva de las mejores propuestas.</w:t>
      </w:r>
    </w:p>
    <w:p w14:paraId="4C9B400E" w14:textId="77777777" w:rsidR="00C5294E" w:rsidRDefault="00C5294E" w:rsidP="007F439C">
      <w:pPr>
        <w:ind w:left="-567" w:right="-799"/>
        <w:jc w:val="both"/>
        <w:rPr>
          <w:rFonts w:ascii="Arial" w:eastAsia="Calibri" w:hAnsi="Arial" w:cs="Arial"/>
        </w:rPr>
      </w:pPr>
    </w:p>
    <w:p w14:paraId="2A07A56A" w14:textId="39640186" w:rsidR="007F439C" w:rsidRPr="007F439C" w:rsidRDefault="007F439C" w:rsidP="007F439C">
      <w:pPr>
        <w:ind w:left="-567" w:right="-799"/>
        <w:jc w:val="both"/>
        <w:rPr>
          <w:rFonts w:ascii="Arial" w:eastAsia="Calibri" w:hAnsi="Arial" w:cs="Arial"/>
        </w:rPr>
      </w:pPr>
      <w:r w:rsidRPr="007F439C">
        <w:rPr>
          <w:rFonts w:ascii="Arial" w:eastAsia="Calibri" w:hAnsi="Arial" w:cs="Arial"/>
        </w:rPr>
        <w:lastRenderedPageBreak/>
        <w:t>El Comité propenderá por establecer medidas de fortalecimiento y democratización de la oferta cultural, orientadas para el caso de la línea de infraestructura, a que los escenarios beneficiarios de los recursos de la contribución parafiscal cultural se encuentren al servicio de los productores y organizadores de espectáculos públicos de las artes escénicas de naturaleza pública y privada, especialmente aquellos que no cuentan con un escenario propio, en calidad de préstamo, comodato, alquiler u otro título.</w:t>
      </w:r>
    </w:p>
    <w:p w14:paraId="2BA9C008" w14:textId="77777777" w:rsidR="00C5294E" w:rsidRDefault="00C5294E" w:rsidP="007F439C">
      <w:pPr>
        <w:ind w:left="-567" w:right="-799"/>
        <w:jc w:val="both"/>
        <w:rPr>
          <w:rFonts w:ascii="Arial" w:eastAsia="Calibri" w:hAnsi="Arial" w:cs="Arial"/>
        </w:rPr>
      </w:pPr>
    </w:p>
    <w:p w14:paraId="0261A628" w14:textId="7AF532C6" w:rsidR="007F439C" w:rsidRPr="007F439C" w:rsidRDefault="007F439C" w:rsidP="007F439C">
      <w:pPr>
        <w:ind w:left="-567" w:right="-799"/>
        <w:jc w:val="both"/>
        <w:rPr>
          <w:rFonts w:ascii="Arial" w:eastAsia="Calibri" w:hAnsi="Arial" w:cs="Arial"/>
        </w:rPr>
      </w:pPr>
      <w:r w:rsidRPr="007F439C">
        <w:rPr>
          <w:rFonts w:ascii="Arial" w:eastAsia="Calibri" w:hAnsi="Arial" w:cs="Arial"/>
        </w:rPr>
        <w:t>Para la línea de circulación y/o producción, la selección de los beneficiarios deberá hacerse por convocatoria pública y podrán participar personas naturales y jurídicas con ánimo o sin ánimo de lucro del sector de las artes escénicas, con domicilio fiscal en el municipio o distrito correspondiente, que desarrollen las actividades de producción y circulación de espectáculos públicos de artes escénicas. La entidad podrá abrir convocatorias específicas para personas jurídicas o para personas naturales, de acuerdo con el objeto y la línea específica de la convocatoria.</w:t>
      </w:r>
    </w:p>
    <w:p w14:paraId="5B7EC1D2" w14:textId="77777777" w:rsidR="00C5294E" w:rsidRDefault="00C5294E" w:rsidP="007F439C">
      <w:pPr>
        <w:ind w:left="-567" w:right="-799"/>
        <w:jc w:val="both"/>
        <w:rPr>
          <w:rFonts w:ascii="Arial" w:eastAsia="Calibri" w:hAnsi="Arial" w:cs="Arial"/>
        </w:rPr>
      </w:pPr>
    </w:p>
    <w:p w14:paraId="77300D6B" w14:textId="28DE8E73" w:rsidR="007F439C" w:rsidRDefault="007F439C" w:rsidP="007F439C">
      <w:pPr>
        <w:ind w:left="-567" w:right="-799"/>
        <w:jc w:val="both"/>
        <w:rPr>
          <w:rFonts w:ascii="Arial" w:eastAsia="Calibri" w:hAnsi="Arial" w:cs="Arial"/>
        </w:rPr>
      </w:pPr>
      <w:r w:rsidRPr="007F439C">
        <w:rPr>
          <w:rFonts w:ascii="Arial" w:eastAsia="Calibri" w:hAnsi="Arial" w:cs="Arial"/>
        </w:rPr>
        <w:t>En lo relacionado con la selección de los beneficiarios, para la línea de circulación y/o producción deberán tenerse en cuenta al menos los cuatro criterios esenciales que se enuncian a continuación:</w:t>
      </w:r>
    </w:p>
    <w:p w14:paraId="7D0BA099" w14:textId="77777777" w:rsidR="00C5294E" w:rsidRPr="007F439C" w:rsidRDefault="00C5294E" w:rsidP="007F439C">
      <w:pPr>
        <w:ind w:left="-567" w:right="-799"/>
        <w:jc w:val="both"/>
        <w:rPr>
          <w:rFonts w:ascii="Arial" w:eastAsia="Calibri" w:hAnsi="Arial" w:cs="Arial"/>
        </w:rPr>
      </w:pPr>
    </w:p>
    <w:p w14:paraId="097FA741" w14:textId="421D1115" w:rsidR="007F439C" w:rsidRDefault="007F439C" w:rsidP="007F439C">
      <w:pPr>
        <w:ind w:left="-567" w:right="-799"/>
        <w:jc w:val="both"/>
        <w:rPr>
          <w:rFonts w:ascii="Arial" w:eastAsia="Calibri" w:hAnsi="Arial" w:cs="Arial"/>
        </w:rPr>
      </w:pPr>
      <w:r>
        <w:rPr>
          <w:rFonts w:ascii="Arial" w:eastAsia="Calibri" w:hAnsi="Arial" w:cs="Arial"/>
          <w:u w:val="single"/>
        </w:rPr>
        <w:t>a</w:t>
      </w:r>
      <w:r w:rsidRPr="007F439C">
        <w:rPr>
          <w:rFonts w:ascii="Arial" w:eastAsia="Calibri" w:hAnsi="Arial" w:cs="Arial"/>
          <w:u w:val="single"/>
        </w:rPr>
        <w:t>. Priorización</w:t>
      </w:r>
      <w:r w:rsidRPr="007F439C">
        <w:rPr>
          <w:rFonts w:ascii="Arial" w:eastAsia="Calibri" w:hAnsi="Arial" w:cs="Arial"/>
        </w:rPr>
        <w:t>: Las convocatorias deberán tener criterios de priorización orientados a atender a la personas naturales y jurídicas con ánimo o sin ánimo de lucro del sector de las artes escénicas del respectivo municipio o distrito, propendiendo por establecer medidas de fortalecimiento y democratización de la oferta cultural, dejando constancia del proceso de selección público que se adelantó.</w:t>
      </w:r>
    </w:p>
    <w:p w14:paraId="70252413" w14:textId="77777777" w:rsidR="00C5294E" w:rsidRPr="007F439C" w:rsidRDefault="00C5294E" w:rsidP="007F439C">
      <w:pPr>
        <w:ind w:left="-567" w:right="-799"/>
        <w:jc w:val="both"/>
        <w:rPr>
          <w:rFonts w:ascii="Arial" w:eastAsia="Calibri" w:hAnsi="Arial" w:cs="Arial"/>
        </w:rPr>
      </w:pPr>
    </w:p>
    <w:p w14:paraId="014029E1" w14:textId="004AD47C" w:rsidR="007F439C" w:rsidRPr="007F439C" w:rsidRDefault="007F439C" w:rsidP="007F439C">
      <w:pPr>
        <w:ind w:left="-567" w:right="-799"/>
        <w:jc w:val="both"/>
        <w:rPr>
          <w:rFonts w:ascii="Arial" w:eastAsia="Calibri" w:hAnsi="Arial" w:cs="Arial"/>
        </w:rPr>
      </w:pPr>
      <w:r>
        <w:rPr>
          <w:rFonts w:ascii="Arial" w:eastAsia="Calibri" w:hAnsi="Arial" w:cs="Arial"/>
          <w:u w:val="single"/>
        </w:rPr>
        <w:t>b</w:t>
      </w:r>
      <w:r w:rsidRPr="007F439C">
        <w:rPr>
          <w:rFonts w:ascii="Arial" w:eastAsia="Calibri" w:hAnsi="Arial" w:cs="Arial"/>
          <w:u w:val="single"/>
        </w:rPr>
        <w:t>. Trayectoria del beneficiario</w:t>
      </w:r>
      <w:r w:rsidRPr="007F439C">
        <w:rPr>
          <w:rFonts w:ascii="Arial" w:eastAsia="Calibri" w:hAnsi="Arial" w:cs="Arial"/>
        </w:rPr>
        <w:t>: Deberá exigirse que la persona (</w:t>
      </w:r>
      <w:r w:rsidRPr="007F439C">
        <w:rPr>
          <w:rFonts w:ascii="Arial" w:eastAsia="Calibri" w:hAnsi="Arial" w:cs="Arial"/>
          <w:i/>
          <w:iCs/>
        </w:rPr>
        <w:t>natural o jurídica</w:t>
      </w:r>
      <w:r w:rsidRPr="007F439C">
        <w:rPr>
          <w:rFonts w:ascii="Arial" w:eastAsia="Calibri" w:hAnsi="Arial" w:cs="Arial"/>
        </w:rPr>
        <w:t xml:space="preserve">) proponente, pertenezca al sector de las artes escénicas y evaluarse su trayectoria por medio de la presentación de soportes que den cuenta de la capacidad de ejecutar el proyecto y a su vez sean coherentes y razonables desde la perspectiva de los actores del sector de las artes escénicas y la línea que se pretende incentivar. </w:t>
      </w:r>
    </w:p>
    <w:p w14:paraId="420D7DA9" w14:textId="77777777" w:rsidR="00C5294E" w:rsidRDefault="00C5294E" w:rsidP="007F439C">
      <w:pPr>
        <w:ind w:left="-567" w:right="-799"/>
        <w:jc w:val="both"/>
        <w:rPr>
          <w:rFonts w:ascii="Arial" w:eastAsia="Calibri" w:hAnsi="Arial" w:cs="Arial"/>
          <w:u w:val="single"/>
        </w:rPr>
      </w:pPr>
    </w:p>
    <w:p w14:paraId="1593583C" w14:textId="0FE43D39" w:rsidR="007F439C" w:rsidRPr="007F439C" w:rsidRDefault="007F439C" w:rsidP="007F439C">
      <w:pPr>
        <w:ind w:left="-567" w:right="-799"/>
        <w:jc w:val="both"/>
        <w:rPr>
          <w:rFonts w:ascii="Arial" w:eastAsia="Calibri" w:hAnsi="Arial" w:cs="Arial"/>
        </w:rPr>
      </w:pPr>
      <w:r>
        <w:rPr>
          <w:rFonts w:ascii="Arial" w:eastAsia="Calibri" w:hAnsi="Arial" w:cs="Arial"/>
          <w:u w:val="single"/>
        </w:rPr>
        <w:t>c</w:t>
      </w:r>
      <w:r w:rsidRPr="007F439C">
        <w:rPr>
          <w:rFonts w:ascii="Arial" w:eastAsia="Calibri" w:hAnsi="Arial" w:cs="Arial"/>
          <w:u w:val="single"/>
        </w:rPr>
        <w:t>. Jurisdiccionalidad de los recursos</w:t>
      </w:r>
      <w:r w:rsidRPr="007F439C">
        <w:rPr>
          <w:rFonts w:ascii="Arial" w:eastAsia="Calibri" w:hAnsi="Arial" w:cs="Arial"/>
        </w:rPr>
        <w:t>: Los recursos de la contribución parafiscal pertenecen al municipio y/o distrito que realiza la convocatoria, por tal razón, los beneficiarios seleccionados en las convocatorias deberán demostrar que cuentan con domicilio fiscal en el municipio o distrito correspondiente donde se encuentran los recursos.</w:t>
      </w:r>
    </w:p>
    <w:p w14:paraId="391D5AFA" w14:textId="77777777" w:rsidR="00C5294E" w:rsidRDefault="00C5294E" w:rsidP="007F439C">
      <w:pPr>
        <w:ind w:left="-567" w:right="-799"/>
        <w:jc w:val="both"/>
        <w:rPr>
          <w:rFonts w:ascii="Arial" w:eastAsia="Calibri" w:hAnsi="Arial" w:cs="Arial"/>
          <w:u w:val="single"/>
        </w:rPr>
      </w:pPr>
    </w:p>
    <w:p w14:paraId="50ACB1D1" w14:textId="1A9AA0F3" w:rsidR="007F439C" w:rsidRPr="007F439C" w:rsidRDefault="007F439C" w:rsidP="007F439C">
      <w:pPr>
        <w:ind w:left="-567" w:right="-799"/>
        <w:jc w:val="both"/>
        <w:rPr>
          <w:rFonts w:ascii="Arial" w:eastAsia="Calibri" w:hAnsi="Arial" w:cs="Arial"/>
        </w:rPr>
      </w:pPr>
      <w:r>
        <w:rPr>
          <w:rFonts w:ascii="Arial" w:eastAsia="Calibri" w:hAnsi="Arial" w:cs="Arial"/>
          <w:u w:val="single"/>
        </w:rPr>
        <w:t>d</w:t>
      </w:r>
      <w:r w:rsidRPr="007F439C">
        <w:rPr>
          <w:rFonts w:ascii="Arial" w:eastAsia="Calibri" w:hAnsi="Arial" w:cs="Arial"/>
          <w:u w:val="single"/>
        </w:rPr>
        <w:t>. Evaluación del proyecto:</w:t>
      </w:r>
      <w:r w:rsidRPr="007F439C">
        <w:rPr>
          <w:rFonts w:ascii="Arial" w:eastAsia="Calibri" w:hAnsi="Arial" w:cs="Arial"/>
        </w:rPr>
        <w:t xml:space="preserve"> Se deberá hacer una evaluación del proyecto presentado de acuerdo con los criterios específicos previamente definidos en la convocatoria para garantizar la selección objetiva de los beneficiarios. Deberán como mínimo definirse: 1. Objetivos generales del proyecto. 2. Objetivos específicos del proyecto. 3. Cronograma del proyecto. 4. Presupuesto para su realización. 5. Resultados esperados en el sector de las artes escénicas, así como indicadores del proyecto (</w:t>
      </w:r>
      <w:r w:rsidRPr="007F439C">
        <w:rPr>
          <w:rFonts w:ascii="Arial" w:eastAsia="Calibri" w:hAnsi="Arial" w:cs="Arial"/>
          <w:i/>
          <w:iCs/>
        </w:rPr>
        <w:t>número de artistas beneficiarios, número de asistentes, número de espectáculos públicos, sin perjuicio de los demás indicadores que se establezcan en los lineamientos de la convocatoria</w:t>
      </w:r>
      <w:r w:rsidRPr="007F439C">
        <w:rPr>
          <w:rFonts w:ascii="Arial" w:eastAsia="Calibri" w:hAnsi="Arial" w:cs="Arial"/>
        </w:rPr>
        <w:t>)</w:t>
      </w:r>
    </w:p>
    <w:p w14:paraId="1BA5D7C5" w14:textId="77777777" w:rsidR="00C5294E" w:rsidRDefault="00C5294E" w:rsidP="007F439C">
      <w:pPr>
        <w:ind w:left="-567" w:right="-799"/>
        <w:jc w:val="both"/>
        <w:rPr>
          <w:rFonts w:ascii="Arial" w:eastAsia="Calibri" w:hAnsi="Arial" w:cs="Arial"/>
          <w:u w:val="single"/>
        </w:rPr>
      </w:pPr>
    </w:p>
    <w:p w14:paraId="0C2E70DD" w14:textId="3637F459" w:rsidR="007F439C" w:rsidRPr="007F439C" w:rsidRDefault="007F439C" w:rsidP="007F439C">
      <w:pPr>
        <w:ind w:left="-567" w:right="-799"/>
        <w:jc w:val="both"/>
        <w:rPr>
          <w:rFonts w:ascii="Arial" w:eastAsia="Calibri" w:hAnsi="Arial" w:cs="Arial"/>
          <w:u w:val="single"/>
        </w:rPr>
      </w:pPr>
      <w:r w:rsidRPr="007F439C">
        <w:rPr>
          <w:rFonts w:ascii="Arial" w:eastAsia="Calibri" w:hAnsi="Arial" w:cs="Arial"/>
          <w:u w:val="single"/>
        </w:rPr>
        <w:t>6. Publicidad de proyectos beneficiarios</w:t>
      </w:r>
    </w:p>
    <w:p w14:paraId="226FB90E" w14:textId="330C5ECE" w:rsidR="007F439C" w:rsidRPr="007F439C" w:rsidRDefault="007F439C" w:rsidP="007F439C">
      <w:pPr>
        <w:ind w:left="-567" w:right="-799"/>
        <w:jc w:val="both"/>
        <w:rPr>
          <w:rFonts w:ascii="Arial" w:eastAsia="Calibri" w:hAnsi="Arial" w:cs="Arial"/>
        </w:rPr>
      </w:pPr>
      <w:r w:rsidRPr="007F439C">
        <w:rPr>
          <w:rFonts w:ascii="Arial" w:eastAsia="Calibri" w:hAnsi="Arial" w:cs="Arial"/>
        </w:rPr>
        <w:t>Los municipios y distritos publicarán los proyectos ganadores en todas las líneas ofertadas, para lo cual podrán disponer de medios físicos o electrónicos de amplia difusión nacional y/o territorial.</w:t>
      </w:r>
    </w:p>
    <w:p w14:paraId="4EB47A2C" w14:textId="77777777" w:rsidR="00C5294E" w:rsidRDefault="00C5294E" w:rsidP="007F439C">
      <w:pPr>
        <w:ind w:left="-567" w:right="-799"/>
        <w:jc w:val="both"/>
        <w:rPr>
          <w:rFonts w:ascii="Arial" w:eastAsia="Calibri" w:hAnsi="Arial" w:cs="Arial"/>
          <w:u w:val="single"/>
        </w:rPr>
      </w:pPr>
    </w:p>
    <w:p w14:paraId="331B1E09" w14:textId="44536773" w:rsidR="007F439C" w:rsidRPr="007F439C" w:rsidRDefault="007F439C" w:rsidP="007F439C">
      <w:pPr>
        <w:ind w:left="-567" w:right="-799"/>
        <w:jc w:val="both"/>
        <w:rPr>
          <w:rFonts w:ascii="Arial" w:eastAsia="Calibri" w:hAnsi="Arial" w:cs="Arial"/>
          <w:u w:val="single"/>
        </w:rPr>
      </w:pPr>
      <w:r w:rsidRPr="007F439C">
        <w:rPr>
          <w:rFonts w:ascii="Arial" w:eastAsia="Calibri" w:hAnsi="Arial" w:cs="Arial"/>
          <w:u w:val="single"/>
        </w:rPr>
        <w:t>7. Modalidad de entrega de los recursos de la contribución parafiscal de las artes escénicas</w:t>
      </w:r>
    </w:p>
    <w:p w14:paraId="325C11D7" w14:textId="77777777" w:rsidR="007F439C" w:rsidRPr="007F439C" w:rsidRDefault="007F439C" w:rsidP="007F439C">
      <w:pPr>
        <w:ind w:left="-567" w:right="-799"/>
        <w:jc w:val="both"/>
        <w:rPr>
          <w:rFonts w:ascii="Arial" w:eastAsia="Calibri" w:hAnsi="Arial" w:cs="Arial"/>
        </w:rPr>
      </w:pPr>
      <w:r w:rsidRPr="007F439C">
        <w:rPr>
          <w:rFonts w:ascii="Arial" w:eastAsia="Calibri" w:hAnsi="Arial" w:cs="Arial"/>
        </w:rPr>
        <w:t>Las alcaldías municipales y distritales deberán establecer el/los mecanismo(s) idóneo(s) para la entrega de los recursos (</w:t>
      </w:r>
      <w:r w:rsidRPr="007F439C">
        <w:rPr>
          <w:rFonts w:ascii="Arial" w:eastAsia="Calibri" w:hAnsi="Arial" w:cs="Arial"/>
          <w:i/>
          <w:iCs/>
        </w:rPr>
        <w:t>contratos de apoyo, estímulos, fiducia, transferencias, etc.</w:t>
      </w:r>
      <w:r w:rsidRPr="007F439C">
        <w:rPr>
          <w:rFonts w:ascii="Arial" w:eastAsia="Calibri" w:hAnsi="Arial" w:cs="Arial"/>
        </w:rPr>
        <w:t>), de acuerdo con el perfil de los beneficiarios.</w:t>
      </w:r>
    </w:p>
    <w:p w14:paraId="64BC9C54" w14:textId="77777777" w:rsidR="00C5294E" w:rsidRDefault="00C5294E" w:rsidP="007F439C">
      <w:pPr>
        <w:ind w:left="-567" w:right="-799"/>
        <w:jc w:val="both"/>
        <w:rPr>
          <w:rFonts w:ascii="Arial" w:eastAsia="Calibri" w:hAnsi="Arial" w:cs="Arial"/>
          <w:u w:val="single"/>
        </w:rPr>
      </w:pPr>
    </w:p>
    <w:p w14:paraId="11254564" w14:textId="7CBFCA30" w:rsidR="007F439C" w:rsidRPr="007F439C" w:rsidRDefault="007F439C" w:rsidP="007F439C">
      <w:pPr>
        <w:ind w:left="-567" w:right="-799"/>
        <w:jc w:val="both"/>
        <w:rPr>
          <w:rFonts w:ascii="Arial" w:eastAsia="Calibri" w:hAnsi="Arial" w:cs="Arial"/>
          <w:u w:val="single"/>
        </w:rPr>
      </w:pPr>
      <w:r w:rsidRPr="007F439C">
        <w:rPr>
          <w:rFonts w:ascii="Arial" w:eastAsia="Calibri" w:hAnsi="Arial" w:cs="Arial"/>
          <w:u w:val="single"/>
        </w:rPr>
        <w:t>8. Interventoría en proyectos de artes escénicas</w:t>
      </w:r>
    </w:p>
    <w:p w14:paraId="7A2B67D3" w14:textId="77777777" w:rsidR="00C5294E" w:rsidRDefault="00C5294E" w:rsidP="007F439C">
      <w:pPr>
        <w:ind w:left="-567" w:right="-799"/>
        <w:jc w:val="both"/>
        <w:rPr>
          <w:rFonts w:ascii="Arial" w:eastAsia="Calibri" w:hAnsi="Arial" w:cs="Arial"/>
        </w:rPr>
      </w:pPr>
    </w:p>
    <w:p w14:paraId="5DE3D076" w14:textId="32C63D53" w:rsidR="007F439C" w:rsidRPr="007F439C" w:rsidRDefault="007F439C" w:rsidP="007F439C">
      <w:pPr>
        <w:ind w:left="-567" w:right="-799"/>
        <w:jc w:val="both"/>
        <w:rPr>
          <w:rFonts w:ascii="Arial" w:eastAsia="Calibri" w:hAnsi="Arial" w:cs="Arial"/>
        </w:rPr>
      </w:pPr>
      <w:r w:rsidRPr="007F439C">
        <w:rPr>
          <w:rFonts w:ascii="Arial" w:eastAsia="Calibri" w:hAnsi="Arial" w:cs="Arial"/>
        </w:rPr>
        <w:t xml:space="preserve">Las entidades responsables de cultura en el municipio o distrito harán la interventoría o supervisión pertinente a cada proyecto seleccionado y tendrán que tomar en cualquier caso todas </w:t>
      </w:r>
      <w:r w:rsidRPr="007F439C">
        <w:rPr>
          <w:rFonts w:ascii="Arial" w:eastAsia="Calibri" w:hAnsi="Arial" w:cs="Arial"/>
        </w:rPr>
        <w:lastRenderedPageBreak/>
        <w:t>las medidas de control y vigilancia para asegurar el adecuado uso de los recursos que sean asignados.</w:t>
      </w:r>
    </w:p>
    <w:p w14:paraId="685DBAAB" w14:textId="77777777" w:rsidR="00C5294E" w:rsidRDefault="00C5294E" w:rsidP="007F439C">
      <w:pPr>
        <w:ind w:left="-567" w:right="-799"/>
        <w:jc w:val="both"/>
        <w:rPr>
          <w:rFonts w:ascii="Arial" w:eastAsia="Calibri" w:hAnsi="Arial" w:cs="Arial"/>
        </w:rPr>
      </w:pPr>
    </w:p>
    <w:p w14:paraId="07C1357C" w14:textId="6E3AFF36" w:rsidR="007F439C" w:rsidRPr="007F439C" w:rsidRDefault="007F439C" w:rsidP="007F439C">
      <w:pPr>
        <w:ind w:left="-567" w:right="-799"/>
        <w:jc w:val="both"/>
        <w:rPr>
          <w:rFonts w:ascii="Arial" w:eastAsia="Calibri" w:hAnsi="Arial" w:cs="Arial"/>
        </w:rPr>
      </w:pPr>
      <w:r w:rsidRPr="007F439C">
        <w:rPr>
          <w:rFonts w:ascii="Arial" w:eastAsia="Calibri" w:hAnsi="Arial" w:cs="Arial"/>
        </w:rPr>
        <w:t>Teniendo en cuenta que el artículo 315 de la Constitución de 1991 determina que una de las atribuciones de los alcaldes es hacer cumplir la Constitución y la ley, los representantes legales de las entidades públicas y los funcionarios a cargo de los procesos administrativos, asumirán la responsabilidad disciplinaria que les corresponda en el marco de la Ley 734 de 2002 o la norma que la modifique o sustituya, así como la responsabilidad penal y fiscal de conformidad con la normatividad existente.</w:t>
      </w:r>
    </w:p>
    <w:p w14:paraId="1A7D51D9" w14:textId="77777777" w:rsidR="00C5294E" w:rsidRDefault="00C5294E" w:rsidP="007F439C">
      <w:pPr>
        <w:ind w:left="-567" w:right="-799"/>
        <w:jc w:val="both"/>
        <w:rPr>
          <w:rFonts w:ascii="Arial" w:eastAsia="Calibri" w:hAnsi="Arial" w:cs="Arial"/>
          <w:u w:val="single"/>
        </w:rPr>
      </w:pPr>
    </w:p>
    <w:p w14:paraId="1A2D77C4" w14:textId="6ECF1C4B" w:rsidR="007F439C" w:rsidRPr="007F439C" w:rsidRDefault="007F439C" w:rsidP="007F439C">
      <w:pPr>
        <w:ind w:left="-567" w:right="-799"/>
        <w:jc w:val="both"/>
        <w:rPr>
          <w:rFonts w:ascii="Arial" w:eastAsia="Calibri" w:hAnsi="Arial" w:cs="Arial"/>
          <w:u w:val="single"/>
        </w:rPr>
      </w:pPr>
      <w:r w:rsidRPr="007F439C">
        <w:rPr>
          <w:rFonts w:ascii="Arial" w:eastAsia="Calibri" w:hAnsi="Arial" w:cs="Arial"/>
          <w:u w:val="single"/>
        </w:rPr>
        <w:t>9. Registro de proyectos seleccionados</w:t>
      </w:r>
    </w:p>
    <w:p w14:paraId="5D586A00" w14:textId="77777777" w:rsidR="007F439C" w:rsidRPr="007F439C" w:rsidRDefault="007F439C" w:rsidP="007F439C">
      <w:pPr>
        <w:ind w:left="-567" w:right="-799"/>
        <w:jc w:val="both"/>
        <w:rPr>
          <w:rFonts w:ascii="Arial" w:eastAsia="Calibri" w:hAnsi="Arial" w:cs="Arial"/>
        </w:rPr>
      </w:pPr>
      <w:r w:rsidRPr="007F439C">
        <w:rPr>
          <w:rFonts w:ascii="Arial" w:eastAsia="Calibri" w:hAnsi="Arial" w:cs="Arial"/>
        </w:rPr>
        <w:t>Los proyectos beneficiarios de los recursos de la contribución parafiscal cultural deberán ser inscritos en línea a través del Portal Único de Espectáculos Públicos de las Artes Escénicas -PULEP- del Ministerio de Cultura. Esta inscripción estará a cargo de las entidades responsables de cultura en el municipio o distrito.</w:t>
      </w:r>
    </w:p>
    <w:p w14:paraId="744EF39B" w14:textId="77777777" w:rsidR="00C5294E" w:rsidRDefault="00C5294E" w:rsidP="007F439C">
      <w:pPr>
        <w:ind w:left="-567" w:right="-799"/>
        <w:jc w:val="both"/>
        <w:rPr>
          <w:rFonts w:ascii="Arial" w:eastAsia="Calibri" w:hAnsi="Arial" w:cs="Arial"/>
        </w:rPr>
      </w:pPr>
    </w:p>
    <w:p w14:paraId="23E76D00" w14:textId="54B9BB30" w:rsidR="007F439C" w:rsidRPr="007F439C" w:rsidRDefault="007F439C" w:rsidP="007F439C">
      <w:pPr>
        <w:ind w:left="-567" w:right="-799"/>
        <w:jc w:val="both"/>
        <w:rPr>
          <w:rFonts w:ascii="Arial" w:eastAsia="Calibri" w:hAnsi="Arial" w:cs="Arial"/>
        </w:rPr>
      </w:pPr>
      <w:r w:rsidRPr="007F439C">
        <w:rPr>
          <w:rFonts w:ascii="Arial" w:eastAsia="Calibri" w:hAnsi="Arial" w:cs="Arial"/>
        </w:rPr>
        <w:t>Una vez inscritos en el PULEP, el Ministerio de Cultura adelantará la verificación pertinente, según la naturaleza del proyecto, junto con los documentos soporte que acrediten la viabilidad en la ejecución. Para efectos de registro del proyecto, este estará a cargo del Ministerio de Cultura.</w:t>
      </w:r>
    </w:p>
    <w:p w14:paraId="3E1BA96D" w14:textId="77777777" w:rsidR="00C5294E" w:rsidRDefault="00C5294E" w:rsidP="007F439C">
      <w:pPr>
        <w:ind w:left="-567" w:right="-799"/>
        <w:jc w:val="both"/>
        <w:rPr>
          <w:rFonts w:ascii="Arial" w:eastAsia="Calibri" w:hAnsi="Arial" w:cs="Arial"/>
        </w:rPr>
      </w:pPr>
    </w:p>
    <w:p w14:paraId="004D5B2A" w14:textId="13E472FA" w:rsidR="007F439C" w:rsidRPr="007F439C" w:rsidRDefault="007F439C" w:rsidP="007F439C">
      <w:pPr>
        <w:ind w:left="-567" w:right="-799"/>
        <w:jc w:val="both"/>
        <w:rPr>
          <w:rFonts w:ascii="Arial" w:eastAsia="Calibri" w:hAnsi="Arial" w:cs="Arial"/>
        </w:rPr>
      </w:pPr>
      <w:r w:rsidRPr="007F439C">
        <w:rPr>
          <w:rFonts w:ascii="Arial" w:eastAsia="Calibri" w:hAnsi="Arial" w:cs="Arial"/>
        </w:rPr>
        <w:t>Las entidades responsables de cultura municipales y distritales deberán garantizar que los proyectos beneficiarios queden debidamente registrados ante el Ministerio de Cultura antes del giro de los recursos a los beneficiarios.</w:t>
      </w:r>
    </w:p>
    <w:p w14:paraId="103CBDB7" w14:textId="77777777" w:rsidR="00C5294E" w:rsidRDefault="00C5294E" w:rsidP="007F439C">
      <w:pPr>
        <w:ind w:left="-567" w:right="-799"/>
        <w:jc w:val="both"/>
        <w:rPr>
          <w:rFonts w:ascii="Arial" w:eastAsia="Calibri" w:hAnsi="Arial" w:cs="Arial"/>
        </w:rPr>
      </w:pPr>
    </w:p>
    <w:p w14:paraId="32AF1CA5" w14:textId="463F94D0" w:rsidR="007F439C" w:rsidRPr="007F439C" w:rsidRDefault="007F439C" w:rsidP="007F439C">
      <w:pPr>
        <w:ind w:left="-567" w:right="-799"/>
        <w:jc w:val="both"/>
        <w:rPr>
          <w:rFonts w:ascii="Arial" w:eastAsia="Calibri" w:hAnsi="Arial" w:cs="Arial"/>
        </w:rPr>
      </w:pPr>
      <w:r w:rsidRPr="007F439C">
        <w:rPr>
          <w:rFonts w:ascii="Arial" w:eastAsia="Calibri" w:hAnsi="Arial" w:cs="Arial"/>
        </w:rPr>
        <w:t>P</w:t>
      </w:r>
      <w:r>
        <w:rPr>
          <w:rFonts w:ascii="Arial" w:eastAsia="Calibri" w:hAnsi="Arial" w:cs="Arial"/>
        </w:rPr>
        <w:t>arágrafo</w:t>
      </w:r>
      <w:r w:rsidRPr="007F439C">
        <w:rPr>
          <w:rFonts w:ascii="Arial" w:eastAsia="Calibri" w:hAnsi="Arial" w:cs="Arial"/>
        </w:rPr>
        <w:t xml:space="preserve"> 1º. En caso de comodato, arrendamiento u otros en los que no se ostente la propiedad del predio o inmueble, este escenario solo podrá postularse y acceder a la línea de compra señalada en el parágrafo 1° del artículo 2.9.2.4.2 del Decreto 1080 de 2015, para lo cual el interesado en presentar el proyecto deberá allegar copia del avalúo certificado del inmueble y documento de compraventa y/o similar con el propietario titular del predio que figure en el folio de matrícula inmobiliaria de la Oficina de Registro de Instrumentos Públicos correspondiente. </w:t>
      </w:r>
    </w:p>
    <w:p w14:paraId="0A3032CE" w14:textId="77777777" w:rsidR="00C5294E" w:rsidRDefault="00C5294E" w:rsidP="007F439C">
      <w:pPr>
        <w:ind w:left="-567" w:right="-799"/>
        <w:jc w:val="both"/>
        <w:rPr>
          <w:rFonts w:ascii="Arial" w:eastAsia="Calibri" w:hAnsi="Arial" w:cs="Arial"/>
        </w:rPr>
      </w:pPr>
    </w:p>
    <w:p w14:paraId="02EABD3D" w14:textId="0546DA45" w:rsidR="007F439C" w:rsidRPr="007F439C" w:rsidRDefault="007F439C" w:rsidP="007F439C">
      <w:pPr>
        <w:ind w:left="-567" w:right="-799"/>
        <w:jc w:val="both"/>
        <w:rPr>
          <w:rFonts w:ascii="Arial" w:eastAsia="Calibri" w:hAnsi="Arial" w:cs="Arial"/>
        </w:rPr>
      </w:pPr>
      <w:r w:rsidRPr="007F439C">
        <w:rPr>
          <w:rFonts w:ascii="Arial" w:eastAsia="Calibri" w:hAnsi="Arial" w:cs="Arial"/>
        </w:rPr>
        <w:t>P</w:t>
      </w:r>
      <w:r>
        <w:rPr>
          <w:rFonts w:ascii="Arial" w:eastAsia="Calibri" w:hAnsi="Arial" w:cs="Arial"/>
        </w:rPr>
        <w:t>arágrafo</w:t>
      </w:r>
      <w:r w:rsidRPr="007F439C">
        <w:rPr>
          <w:rFonts w:ascii="Arial" w:eastAsia="Calibri" w:hAnsi="Arial" w:cs="Arial"/>
        </w:rPr>
        <w:t xml:space="preserve"> 2º. En caso de que el interesado en presentar el proyecto sea un productor de espectáculos públicos de las artes escénicas que no se encuentre al día en la declaración y pago de la contribución parafiscal, o que no surta su registro como productor ante el Ministerio de Cultura, no podrá ser beneficiario de la asignación de estos recursos.</w:t>
      </w:r>
    </w:p>
    <w:p w14:paraId="5559EF39" w14:textId="77777777" w:rsidR="00C5294E" w:rsidRDefault="00C5294E" w:rsidP="007F439C">
      <w:pPr>
        <w:ind w:left="-567" w:right="-799"/>
        <w:jc w:val="both"/>
        <w:rPr>
          <w:rFonts w:ascii="Arial" w:eastAsia="Calibri" w:hAnsi="Arial" w:cs="Arial"/>
        </w:rPr>
      </w:pPr>
    </w:p>
    <w:p w14:paraId="026A801E" w14:textId="7619C2FA" w:rsidR="007F439C" w:rsidRPr="007F439C" w:rsidRDefault="007F439C" w:rsidP="007F439C">
      <w:pPr>
        <w:ind w:left="-567" w:right="-799"/>
        <w:jc w:val="both"/>
        <w:rPr>
          <w:rFonts w:ascii="Arial" w:eastAsia="Calibri" w:hAnsi="Arial" w:cs="Arial"/>
        </w:rPr>
      </w:pPr>
      <w:r w:rsidRPr="007F439C">
        <w:rPr>
          <w:rFonts w:ascii="Arial" w:eastAsia="Calibri" w:hAnsi="Arial" w:cs="Arial"/>
        </w:rPr>
        <w:t>P</w:t>
      </w:r>
      <w:r>
        <w:rPr>
          <w:rFonts w:ascii="Arial" w:eastAsia="Calibri" w:hAnsi="Arial" w:cs="Arial"/>
        </w:rPr>
        <w:t>arágrafo</w:t>
      </w:r>
      <w:r w:rsidRPr="007F439C">
        <w:rPr>
          <w:rFonts w:ascii="Arial" w:eastAsia="Calibri" w:hAnsi="Arial" w:cs="Arial"/>
        </w:rPr>
        <w:t xml:space="preserve"> 3º. La entidad territorial que pretenda ejecutar recursos de la contribución parafiscal cultural en cualquiera de las líneas, deberá haber dado estricto cumplimiento a lo dispuesto en el parágrafo 2° del artículo 2.9.2.5.1 del Decreto 1080 de 2015 en lo relacionado con la presentación de los informes de ejecución de los recursos de la contribución parafiscal cultural de vigencias anteriores.</w:t>
      </w:r>
    </w:p>
    <w:p w14:paraId="5B472B14" w14:textId="77777777" w:rsidR="00C5294E" w:rsidRDefault="00C5294E" w:rsidP="007F439C">
      <w:pPr>
        <w:ind w:left="-567" w:right="-799"/>
        <w:jc w:val="both"/>
        <w:rPr>
          <w:rFonts w:ascii="Arial" w:eastAsia="Calibri" w:hAnsi="Arial" w:cs="Arial"/>
        </w:rPr>
      </w:pPr>
    </w:p>
    <w:p w14:paraId="4AC19FCB" w14:textId="763B4807" w:rsidR="007F439C" w:rsidRPr="007F439C" w:rsidRDefault="007F439C" w:rsidP="007F439C">
      <w:pPr>
        <w:ind w:left="-567" w:right="-799"/>
        <w:jc w:val="both"/>
        <w:rPr>
          <w:rFonts w:ascii="Arial" w:eastAsia="Calibri" w:hAnsi="Arial" w:cs="Arial"/>
        </w:rPr>
      </w:pPr>
      <w:r w:rsidRPr="007F439C">
        <w:rPr>
          <w:rFonts w:ascii="Arial" w:eastAsia="Calibri" w:hAnsi="Arial" w:cs="Arial"/>
        </w:rPr>
        <w:t>P</w:t>
      </w:r>
      <w:r>
        <w:rPr>
          <w:rFonts w:ascii="Arial" w:eastAsia="Calibri" w:hAnsi="Arial" w:cs="Arial"/>
        </w:rPr>
        <w:t>arágrafo</w:t>
      </w:r>
      <w:r w:rsidRPr="007F439C">
        <w:rPr>
          <w:rFonts w:ascii="Arial" w:eastAsia="Calibri" w:hAnsi="Arial" w:cs="Arial"/>
        </w:rPr>
        <w:t xml:space="preserve"> 4°. En todo lo que no se oponga a la naturaleza y finalidad de lo aquí dispuesto, deberá darse aplicación a lo dispuesto en el Decreto 1080 de 2015 y las modificaciones al mismo, así como por las resoluciones expedidas por el Ministerio de Cultura.</w:t>
      </w:r>
    </w:p>
    <w:p w14:paraId="16B95DB0" w14:textId="77777777" w:rsidR="00C5294E" w:rsidRDefault="00C5294E" w:rsidP="007F439C">
      <w:pPr>
        <w:ind w:left="-567" w:right="-799"/>
        <w:jc w:val="both"/>
        <w:rPr>
          <w:rFonts w:ascii="Arial" w:eastAsia="Calibri" w:hAnsi="Arial" w:cs="Arial"/>
        </w:rPr>
      </w:pPr>
    </w:p>
    <w:p w14:paraId="48933F8C" w14:textId="544C85E4" w:rsidR="007F439C" w:rsidRPr="007F439C" w:rsidRDefault="007F439C" w:rsidP="007F439C">
      <w:pPr>
        <w:ind w:left="-567" w:right="-799"/>
        <w:jc w:val="both"/>
        <w:rPr>
          <w:rFonts w:ascii="Arial" w:eastAsia="Calibri" w:hAnsi="Arial" w:cs="Arial"/>
        </w:rPr>
      </w:pPr>
      <w:r w:rsidRPr="007F439C">
        <w:rPr>
          <w:rFonts w:ascii="Arial" w:eastAsia="Calibri" w:hAnsi="Arial" w:cs="Arial"/>
        </w:rPr>
        <w:t>P</w:t>
      </w:r>
      <w:r>
        <w:rPr>
          <w:rFonts w:ascii="Arial" w:eastAsia="Calibri" w:hAnsi="Arial" w:cs="Arial"/>
        </w:rPr>
        <w:t>arágrafo</w:t>
      </w:r>
      <w:r w:rsidRPr="007F439C">
        <w:rPr>
          <w:rFonts w:ascii="Arial" w:eastAsia="Calibri" w:hAnsi="Arial" w:cs="Arial"/>
        </w:rPr>
        <w:t xml:space="preserve"> 5°. Estos recursos no podrán sustituir los recursos que los municipios o distritos destinen a la cultura y a los espectáculos públicos de las artes escénicas. En ningún caso podrán destinarse estos recursos al pago de nómina ni a gastos administrativos</w:t>
      </w:r>
    </w:p>
    <w:p w14:paraId="5A9B516F" w14:textId="77777777" w:rsidR="00C5294E" w:rsidRDefault="00C5294E" w:rsidP="007F439C">
      <w:pPr>
        <w:ind w:left="-567" w:right="-799"/>
        <w:jc w:val="both"/>
        <w:rPr>
          <w:rFonts w:ascii="Arial" w:eastAsia="Calibri" w:hAnsi="Arial" w:cs="Arial"/>
          <w:b/>
          <w:bCs/>
        </w:rPr>
      </w:pPr>
    </w:p>
    <w:p w14:paraId="02DD042C" w14:textId="604BE4F4" w:rsidR="007F439C" w:rsidRPr="00C5294E" w:rsidRDefault="007F439C" w:rsidP="007F439C">
      <w:pPr>
        <w:ind w:left="-567" w:right="-799"/>
        <w:jc w:val="both"/>
        <w:rPr>
          <w:rFonts w:ascii="Arial" w:eastAsia="Calibri" w:hAnsi="Arial" w:cs="Arial"/>
        </w:rPr>
      </w:pPr>
      <w:r w:rsidRPr="007F439C">
        <w:rPr>
          <w:rFonts w:ascii="Arial" w:eastAsia="Calibri" w:hAnsi="Arial" w:cs="Arial"/>
          <w:b/>
          <w:bCs/>
        </w:rPr>
        <w:t>A</w:t>
      </w:r>
      <w:r>
        <w:rPr>
          <w:rFonts w:ascii="Arial" w:eastAsia="Calibri" w:hAnsi="Arial" w:cs="Arial"/>
          <w:b/>
          <w:bCs/>
        </w:rPr>
        <w:t>RTICULO</w:t>
      </w:r>
      <w:r w:rsidRPr="007F439C">
        <w:rPr>
          <w:rFonts w:ascii="Arial" w:eastAsia="Calibri" w:hAnsi="Arial" w:cs="Arial"/>
          <w:b/>
          <w:bCs/>
        </w:rPr>
        <w:t xml:space="preserve"> 3. - </w:t>
      </w:r>
      <w:r w:rsidRPr="00C5294E">
        <w:rPr>
          <w:rFonts w:ascii="Arial" w:eastAsia="Calibri" w:hAnsi="Arial" w:cs="Arial"/>
        </w:rPr>
        <w:t xml:space="preserve">Modifíquese el artículo 2.9.2.5.2. del Decreto 1080 de 2015, el cual quedará así: </w:t>
      </w:r>
    </w:p>
    <w:p w14:paraId="173510CA" w14:textId="77777777" w:rsidR="00C5294E" w:rsidRDefault="00C5294E" w:rsidP="007F439C">
      <w:pPr>
        <w:ind w:left="-567" w:right="-799"/>
        <w:jc w:val="both"/>
        <w:rPr>
          <w:rFonts w:ascii="Arial" w:eastAsia="Calibri" w:hAnsi="Arial" w:cs="Arial"/>
          <w:b/>
          <w:bCs/>
        </w:rPr>
      </w:pPr>
    </w:p>
    <w:p w14:paraId="73F5CC7F" w14:textId="139005A4" w:rsidR="007F439C" w:rsidRPr="007F439C" w:rsidRDefault="007F439C" w:rsidP="007F439C">
      <w:pPr>
        <w:ind w:left="-567" w:right="-799"/>
        <w:jc w:val="both"/>
        <w:rPr>
          <w:rFonts w:ascii="Arial" w:eastAsia="Calibri" w:hAnsi="Arial" w:cs="Arial"/>
        </w:rPr>
      </w:pPr>
      <w:r w:rsidRPr="007F439C">
        <w:rPr>
          <w:rFonts w:ascii="Arial" w:eastAsia="Calibri" w:hAnsi="Arial" w:cs="Arial"/>
          <w:b/>
          <w:bCs/>
        </w:rPr>
        <w:t>A</w:t>
      </w:r>
      <w:r>
        <w:rPr>
          <w:rFonts w:ascii="Arial" w:eastAsia="Calibri" w:hAnsi="Arial" w:cs="Arial"/>
          <w:b/>
          <w:bCs/>
        </w:rPr>
        <w:t>rtículo</w:t>
      </w:r>
      <w:r w:rsidRPr="007F439C">
        <w:rPr>
          <w:rFonts w:ascii="Arial" w:eastAsia="Calibri" w:hAnsi="Arial" w:cs="Arial"/>
          <w:b/>
          <w:bCs/>
        </w:rPr>
        <w:t xml:space="preserve"> 2.9.2.5.2. </w:t>
      </w:r>
      <w:r w:rsidRPr="007F439C">
        <w:rPr>
          <w:rFonts w:ascii="Arial" w:eastAsia="Calibri" w:hAnsi="Arial" w:cs="Arial"/>
        </w:rPr>
        <w:t>Periodo de ejecución de los recursos. De acuerdo con lo establecido en el artículo 13-2 de la Ley 2070 de 2020, las alcaldías municipales y distritales podrán ejecutar los recursos de la contribución parafiscal cultural desde el momento de la recepción del giro realizado por el Ministerio de Cultura y hasta el final de la vigencia fiscal siguiente a la transferencia, atendiendo igualmente a lo dispuesto en el parágrafo 3º del artículo 2.9.2.4.1 del Decreto 1080 de 2015.</w:t>
      </w:r>
    </w:p>
    <w:p w14:paraId="310AA679" w14:textId="77777777" w:rsidR="00C5294E" w:rsidRDefault="00C5294E" w:rsidP="007F439C">
      <w:pPr>
        <w:ind w:left="-567" w:right="-799"/>
        <w:jc w:val="both"/>
        <w:rPr>
          <w:rFonts w:ascii="Arial" w:eastAsia="Calibri" w:hAnsi="Arial" w:cs="Arial"/>
        </w:rPr>
      </w:pPr>
    </w:p>
    <w:p w14:paraId="37B30D0A" w14:textId="4A43D69A" w:rsidR="007F439C" w:rsidRDefault="007F439C" w:rsidP="007F439C">
      <w:pPr>
        <w:ind w:left="-567" w:right="-799"/>
        <w:jc w:val="both"/>
        <w:rPr>
          <w:rFonts w:ascii="Arial" w:eastAsia="Calibri" w:hAnsi="Arial" w:cs="Arial"/>
        </w:rPr>
      </w:pPr>
      <w:r w:rsidRPr="007F439C">
        <w:rPr>
          <w:rFonts w:ascii="Arial" w:eastAsia="Calibri" w:hAnsi="Arial" w:cs="Arial"/>
        </w:rPr>
        <w:t>Las entidades territoriales que no hayan ejecutado los recursos en el plazo indicado anteriormente podrán utilizar los recursos en la siguiente vigencia, de lo cual informarán al Ministerio de Cultura con copia a la contraloría territorial competente.</w:t>
      </w:r>
    </w:p>
    <w:p w14:paraId="278CBC32" w14:textId="77777777" w:rsidR="00C5294E" w:rsidRPr="007F439C" w:rsidRDefault="00C5294E" w:rsidP="007F439C">
      <w:pPr>
        <w:ind w:left="-567" w:right="-799"/>
        <w:jc w:val="both"/>
        <w:rPr>
          <w:rFonts w:ascii="Arial" w:eastAsia="Calibri" w:hAnsi="Arial" w:cs="Arial"/>
        </w:rPr>
      </w:pPr>
    </w:p>
    <w:p w14:paraId="13C7E0B7" w14:textId="7EADF292" w:rsidR="007F439C" w:rsidRPr="007F439C" w:rsidRDefault="007F439C" w:rsidP="007F439C">
      <w:pPr>
        <w:ind w:left="-567" w:right="-799"/>
        <w:jc w:val="both"/>
        <w:rPr>
          <w:rFonts w:ascii="Arial" w:eastAsiaTheme="minorEastAsia" w:hAnsi="Arial" w:cs="Arial"/>
        </w:rPr>
      </w:pPr>
      <w:r w:rsidRPr="007F439C">
        <w:rPr>
          <w:rFonts w:ascii="Arial" w:eastAsia="Calibri" w:hAnsi="Arial" w:cs="Arial"/>
        </w:rPr>
        <w:t xml:space="preserve">La entidad territorial que no ejecute los recursos de la contribución parafiscal cultural de las artes escénicas de acuerdo con lo establecido en el artículo 13-1 de la Ley 1493 de 2011, adicionado por la Ley 2070 de 2020, deberá reintegrarlos a la cuenta especial del </w:t>
      </w:r>
      <w:r w:rsidRPr="007F439C">
        <w:rPr>
          <w:rFonts w:ascii="Arial" w:hAnsi="Arial" w:cs="Arial"/>
        </w:rPr>
        <w:t>Fondo para la Promoción del Patrimonio, la Cultura, las Artes y la Creatividad – FONCULTURA.</w:t>
      </w:r>
    </w:p>
    <w:p w14:paraId="4528F956" w14:textId="77777777" w:rsidR="00C5294E" w:rsidRDefault="00C5294E" w:rsidP="007F439C">
      <w:pPr>
        <w:ind w:left="-567" w:right="-799"/>
        <w:jc w:val="both"/>
        <w:rPr>
          <w:rFonts w:ascii="Arial" w:hAnsi="Arial" w:cs="Arial"/>
        </w:rPr>
      </w:pPr>
    </w:p>
    <w:p w14:paraId="76049528" w14:textId="00A14036" w:rsidR="007F439C" w:rsidRPr="007F439C" w:rsidRDefault="007F439C" w:rsidP="007F439C">
      <w:pPr>
        <w:ind w:left="-567" w:right="-799"/>
        <w:jc w:val="both"/>
        <w:rPr>
          <w:rFonts w:ascii="Arial" w:eastAsia="Calibri" w:hAnsi="Arial" w:cs="Arial"/>
          <w:b/>
          <w:bCs/>
        </w:rPr>
      </w:pPr>
      <w:r w:rsidRPr="007F439C">
        <w:rPr>
          <w:rFonts w:ascii="Arial" w:hAnsi="Arial" w:cs="Arial"/>
        </w:rPr>
        <w:t>La inversión de los recursos de la contribución parafiscal cultural de los espectáculos públicos de las artes escénicas reintegrados al Fondo para la Promoción del Patrimonio, la Cultura, las Artes y la Creatividad – FONCULTURA deberá realizarse en las líneas señaladas en el artículo 12 de la Ley 2070 de 2020, de acuerdo con la priorización de estos en municipios categoría 4, 5 y 6</w:t>
      </w:r>
      <w:r w:rsidRPr="007F439C">
        <w:rPr>
          <w:rFonts w:ascii="Arial" w:hAnsi="Arial" w:cs="Arial"/>
        </w:rPr>
        <w:tab/>
      </w:r>
    </w:p>
    <w:p w14:paraId="17F6FE19" w14:textId="77777777" w:rsidR="00C5294E" w:rsidRDefault="00C5294E" w:rsidP="007F439C">
      <w:pPr>
        <w:ind w:left="-567" w:right="-799"/>
        <w:jc w:val="both"/>
        <w:rPr>
          <w:rFonts w:ascii="Arial" w:hAnsi="Arial" w:cs="Arial"/>
        </w:rPr>
      </w:pPr>
    </w:p>
    <w:p w14:paraId="28DB2714" w14:textId="4FF2280B" w:rsidR="007F439C" w:rsidRPr="007F439C" w:rsidRDefault="007F439C" w:rsidP="007F439C">
      <w:pPr>
        <w:ind w:left="-567" w:right="-799"/>
        <w:jc w:val="both"/>
        <w:rPr>
          <w:rFonts w:ascii="Arial" w:eastAsiaTheme="minorEastAsia" w:hAnsi="Arial" w:cs="Arial"/>
        </w:rPr>
      </w:pPr>
      <w:r w:rsidRPr="007F439C">
        <w:rPr>
          <w:rFonts w:ascii="Arial" w:hAnsi="Arial" w:cs="Arial"/>
        </w:rPr>
        <w:t>El Ministerio de Cultura reglamentará mediante resolución, el procedimiento, los mecanismos y protocolos para efectuar el registro de los proyectos y el seguimiento y monitoreo a la ejecución de los recursos de los proyectos presentados por FONCULTURA con los recursos reintegrados.</w:t>
      </w:r>
    </w:p>
    <w:p w14:paraId="0E7AEC1D" w14:textId="77777777" w:rsidR="00C5294E" w:rsidRDefault="00C5294E" w:rsidP="007F439C">
      <w:pPr>
        <w:ind w:left="-567" w:right="-799"/>
        <w:jc w:val="both"/>
        <w:rPr>
          <w:rFonts w:ascii="Arial" w:eastAsia="Calibri" w:hAnsi="Arial" w:cs="Arial"/>
          <w:b/>
          <w:bCs/>
        </w:rPr>
      </w:pPr>
    </w:p>
    <w:p w14:paraId="0B6A1ADE" w14:textId="0A5080B4" w:rsidR="00561887" w:rsidRPr="007F439C" w:rsidRDefault="00C5294E" w:rsidP="007F439C">
      <w:pPr>
        <w:spacing w:after="160" w:line="259" w:lineRule="auto"/>
        <w:ind w:left="-567" w:right="-799"/>
        <w:rPr>
          <w:rFonts w:ascii="Arial" w:eastAsia="Calibri" w:hAnsi="Arial" w:cs="Arial"/>
          <w:lang w:eastAsia="en-US"/>
        </w:rPr>
      </w:pPr>
      <w:r w:rsidRPr="007F439C">
        <w:rPr>
          <w:rFonts w:ascii="Arial" w:hAnsi="Arial" w:cs="Arial"/>
          <w:b/>
          <w:color w:val="000000" w:themeColor="text1"/>
        </w:rPr>
        <w:t xml:space="preserve">ARTÍCULO </w:t>
      </w:r>
      <w:r>
        <w:rPr>
          <w:rFonts w:ascii="Arial" w:hAnsi="Arial" w:cs="Arial"/>
          <w:b/>
          <w:color w:val="000000" w:themeColor="text1"/>
        </w:rPr>
        <w:t>4</w:t>
      </w:r>
      <w:r w:rsidR="00435729" w:rsidRPr="007F439C">
        <w:rPr>
          <w:rFonts w:ascii="Arial" w:hAnsi="Arial" w:cs="Arial"/>
          <w:b/>
          <w:color w:val="000000" w:themeColor="text1"/>
        </w:rPr>
        <w:t xml:space="preserve">. </w:t>
      </w:r>
      <w:r w:rsidR="00561887" w:rsidRPr="007F439C">
        <w:rPr>
          <w:rFonts w:ascii="Arial" w:hAnsi="Arial" w:cs="Arial"/>
          <w:b/>
          <w:color w:val="000000" w:themeColor="text1"/>
        </w:rPr>
        <w:t>Vigencia y derogatorias</w:t>
      </w:r>
      <w:r w:rsidR="003073C6" w:rsidRPr="007F439C">
        <w:rPr>
          <w:rFonts w:ascii="Arial" w:hAnsi="Arial" w:cs="Arial"/>
          <w:color w:val="000000" w:themeColor="text1"/>
        </w:rPr>
        <w:t xml:space="preserve">. Las disposiciones </w:t>
      </w:r>
      <w:r w:rsidR="007F439C" w:rsidRPr="007F439C">
        <w:rPr>
          <w:rFonts w:ascii="Arial" w:hAnsi="Arial" w:cs="Arial"/>
          <w:color w:val="000000" w:themeColor="text1"/>
        </w:rPr>
        <w:t>contenidas en este Decreto</w:t>
      </w:r>
      <w:r w:rsidR="003073C6" w:rsidRPr="007F439C">
        <w:rPr>
          <w:rFonts w:ascii="Arial" w:hAnsi="Arial" w:cs="Arial"/>
          <w:bCs/>
          <w:color w:val="000000" w:themeColor="text1"/>
          <w:lang w:eastAsia="es-ES"/>
        </w:rPr>
        <w:t>, rigen a partir de la fecha de su publicación en el Diario Oficial</w:t>
      </w:r>
      <w:r w:rsidR="00AA2362" w:rsidRPr="007F439C">
        <w:rPr>
          <w:rFonts w:ascii="Arial" w:hAnsi="Arial" w:cs="Arial"/>
          <w:bCs/>
          <w:color w:val="000000" w:themeColor="text1"/>
          <w:lang w:eastAsia="es-ES"/>
        </w:rPr>
        <w:t>.</w:t>
      </w:r>
    </w:p>
    <w:p w14:paraId="63A368AA" w14:textId="77777777" w:rsidR="0051516B" w:rsidRPr="007F439C" w:rsidRDefault="0051516B" w:rsidP="00BC4A8A">
      <w:pPr>
        <w:ind w:left="-567" w:right="-799"/>
        <w:jc w:val="both"/>
        <w:rPr>
          <w:rFonts w:ascii="Arial" w:hAnsi="Arial" w:cs="Arial"/>
          <w:bCs/>
          <w:color w:val="000000" w:themeColor="text1"/>
        </w:rPr>
      </w:pPr>
    </w:p>
    <w:p w14:paraId="0095645C" w14:textId="3C274376" w:rsidR="00561887" w:rsidRPr="007F439C" w:rsidRDefault="00561887" w:rsidP="00BC4A8A">
      <w:pPr>
        <w:ind w:left="-567" w:right="-799"/>
        <w:jc w:val="center"/>
        <w:rPr>
          <w:rFonts w:ascii="Arial" w:hAnsi="Arial" w:cs="Arial"/>
          <w:color w:val="000000" w:themeColor="text1"/>
        </w:rPr>
      </w:pPr>
      <w:r w:rsidRPr="007F439C">
        <w:rPr>
          <w:rFonts w:ascii="Arial" w:hAnsi="Arial" w:cs="Arial"/>
          <w:b/>
          <w:color w:val="000000" w:themeColor="text1"/>
          <w:lang w:eastAsia="es-ES"/>
        </w:rPr>
        <w:t>PUBLÍQUESE Y CÚMPLASE</w:t>
      </w:r>
      <w:r w:rsidRPr="007F439C">
        <w:rPr>
          <w:rFonts w:ascii="Arial" w:hAnsi="Arial" w:cs="Arial"/>
          <w:color w:val="000000" w:themeColor="text1"/>
          <w:lang w:eastAsia="es-ES"/>
        </w:rPr>
        <w:t>.</w:t>
      </w:r>
    </w:p>
    <w:p w14:paraId="1356A2E6" w14:textId="77777777" w:rsidR="00F84FBB" w:rsidRPr="007F439C" w:rsidRDefault="00F84FBB" w:rsidP="00BC4A8A">
      <w:pPr>
        <w:ind w:left="-567" w:right="-799"/>
        <w:jc w:val="both"/>
        <w:rPr>
          <w:rFonts w:ascii="Arial" w:hAnsi="Arial" w:cs="Arial"/>
          <w:color w:val="000000" w:themeColor="text1"/>
          <w:lang w:eastAsia="es-ES"/>
        </w:rPr>
      </w:pPr>
    </w:p>
    <w:p w14:paraId="7E37C940" w14:textId="0F0A25BE" w:rsidR="00561887" w:rsidRPr="007F439C" w:rsidRDefault="00561887" w:rsidP="00BC4A8A">
      <w:pPr>
        <w:ind w:left="-567" w:right="-799"/>
        <w:jc w:val="both"/>
        <w:rPr>
          <w:rFonts w:ascii="Arial" w:hAnsi="Arial" w:cs="Arial"/>
          <w:color w:val="000000" w:themeColor="text1"/>
          <w:lang w:eastAsia="es-ES"/>
        </w:rPr>
      </w:pPr>
      <w:r w:rsidRPr="007F439C">
        <w:rPr>
          <w:rFonts w:ascii="Arial" w:hAnsi="Arial" w:cs="Arial"/>
          <w:color w:val="000000" w:themeColor="text1"/>
          <w:lang w:eastAsia="es-ES"/>
        </w:rPr>
        <w:t>Dado en Bogotá D.C., a los</w:t>
      </w:r>
    </w:p>
    <w:p w14:paraId="5DED85EE" w14:textId="7C37F24B" w:rsidR="00AA2362" w:rsidRPr="007F439C" w:rsidRDefault="00AA2362" w:rsidP="007F439C">
      <w:pPr>
        <w:ind w:right="-799"/>
        <w:jc w:val="both"/>
        <w:rPr>
          <w:rFonts w:ascii="Arial" w:hAnsi="Arial" w:cs="Arial"/>
          <w:color w:val="000000" w:themeColor="text1"/>
          <w:lang w:eastAsia="es-ES"/>
        </w:rPr>
      </w:pPr>
    </w:p>
    <w:p w14:paraId="09572A99" w14:textId="7009F317" w:rsidR="00AA2362" w:rsidRPr="007F439C" w:rsidRDefault="00AA2362" w:rsidP="00BC4A8A">
      <w:pPr>
        <w:ind w:left="-567" w:right="-799"/>
        <w:jc w:val="both"/>
        <w:rPr>
          <w:rFonts w:ascii="Arial" w:hAnsi="Arial" w:cs="Arial"/>
          <w:color w:val="000000" w:themeColor="text1"/>
          <w:lang w:eastAsia="es-ES"/>
        </w:rPr>
      </w:pPr>
    </w:p>
    <w:p w14:paraId="48BFAC72" w14:textId="7C476B40" w:rsidR="00AA2362" w:rsidRPr="007F439C" w:rsidRDefault="00AA2362" w:rsidP="00BC4A8A">
      <w:pPr>
        <w:ind w:left="-567" w:right="-799"/>
        <w:jc w:val="both"/>
        <w:rPr>
          <w:rFonts w:ascii="Arial" w:hAnsi="Arial" w:cs="Arial"/>
          <w:color w:val="000000" w:themeColor="text1"/>
          <w:lang w:eastAsia="es-ES"/>
        </w:rPr>
      </w:pPr>
    </w:p>
    <w:p w14:paraId="7F0317D5" w14:textId="77777777" w:rsidR="002A0E0E" w:rsidRPr="007F439C" w:rsidRDefault="00F22C22" w:rsidP="00BC4A8A">
      <w:pPr>
        <w:ind w:left="-567" w:right="-799"/>
        <w:jc w:val="both"/>
        <w:rPr>
          <w:rFonts w:ascii="Arial" w:hAnsi="Arial" w:cs="Arial"/>
          <w:b/>
          <w:bCs/>
          <w:color w:val="000000" w:themeColor="text1"/>
          <w:lang w:eastAsia="es-ES"/>
        </w:rPr>
      </w:pPr>
      <w:r w:rsidRPr="007F439C">
        <w:rPr>
          <w:rFonts w:ascii="Arial" w:hAnsi="Arial" w:cs="Arial"/>
          <w:b/>
          <w:bCs/>
          <w:color w:val="000000" w:themeColor="text1"/>
          <w:lang w:eastAsia="es-ES"/>
        </w:rPr>
        <w:t>El Ministro de Cultur</w:t>
      </w:r>
      <w:bookmarkEnd w:id="0"/>
      <w:r w:rsidR="002A0E0E" w:rsidRPr="007F439C">
        <w:rPr>
          <w:rFonts w:ascii="Arial" w:hAnsi="Arial" w:cs="Arial"/>
          <w:b/>
          <w:bCs/>
          <w:color w:val="000000" w:themeColor="text1"/>
          <w:lang w:eastAsia="es-ES"/>
        </w:rPr>
        <w:t>a</w:t>
      </w:r>
    </w:p>
    <w:p w14:paraId="4E295D1D" w14:textId="77777777" w:rsidR="002A0E0E" w:rsidRPr="007F439C" w:rsidRDefault="002A0E0E" w:rsidP="00BC4A8A">
      <w:pPr>
        <w:ind w:left="-567" w:right="-799"/>
        <w:jc w:val="both"/>
        <w:rPr>
          <w:rFonts w:ascii="Arial" w:hAnsi="Arial" w:cs="Arial"/>
          <w:color w:val="000000" w:themeColor="text1"/>
          <w:lang w:eastAsia="es-ES"/>
        </w:rPr>
      </w:pPr>
    </w:p>
    <w:p w14:paraId="495F3E3F" w14:textId="77777777" w:rsidR="002A0E0E" w:rsidRPr="007F439C" w:rsidRDefault="002A0E0E" w:rsidP="00BC4A8A">
      <w:pPr>
        <w:ind w:left="-567" w:right="-799"/>
        <w:jc w:val="both"/>
        <w:rPr>
          <w:rFonts w:ascii="Arial" w:hAnsi="Arial" w:cs="Arial"/>
          <w:color w:val="000000" w:themeColor="text1"/>
          <w:lang w:eastAsia="es-ES"/>
        </w:rPr>
      </w:pPr>
    </w:p>
    <w:p w14:paraId="6D66FCC9" w14:textId="1457DB70" w:rsidR="002A0E0E" w:rsidRDefault="002A0E0E" w:rsidP="00BC4A8A">
      <w:pPr>
        <w:ind w:left="-567" w:right="-799"/>
        <w:jc w:val="both"/>
        <w:rPr>
          <w:rFonts w:ascii="Arial" w:hAnsi="Arial" w:cs="Arial"/>
          <w:color w:val="000000" w:themeColor="text1"/>
          <w:lang w:eastAsia="es-ES"/>
        </w:rPr>
      </w:pPr>
    </w:p>
    <w:p w14:paraId="098A25B1" w14:textId="13D4AE27" w:rsidR="007F439C" w:rsidRDefault="007F439C" w:rsidP="00BC4A8A">
      <w:pPr>
        <w:ind w:left="-567" w:right="-799"/>
        <w:jc w:val="both"/>
        <w:rPr>
          <w:rFonts w:ascii="Arial" w:hAnsi="Arial" w:cs="Arial"/>
          <w:color w:val="000000" w:themeColor="text1"/>
          <w:lang w:eastAsia="es-ES"/>
        </w:rPr>
      </w:pPr>
    </w:p>
    <w:p w14:paraId="6129C025" w14:textId="77777777" w:rsidR="007F439C" w:rsidRPr="007F439C" w:rsidRDefault="007F439C" w:rsidP="00BC4A8A">
      <w:pPr>
        <w:ind w:left="-567" w:right="-799"/>
        <w:jc w:val="both"/>
        <w:rPr>
          <w:rFonts w:ascii="Arial" w:hAnsi="Arial" w:cs="Arial"/>
          <w:color w:val="000000" w:themeColor="text1"/>
          <w:lang w:eastAsia="es-ES"/>
        </w:rPr>
      </w:pPr>
    </w:p>
    <w:p w14:paraId="5180E40B" w14:textId="77777777" w:rsidR="002A0E0E" w:rsidRPr="007F439C" w:rsidRDefault="002A0E0E" w:rsidP="00BC4A8A">
      <w:pPr>
        <w:ind w:left="-567" w:right="-799"/>
        <w:jc w:val="both"/>
        <w:rPr>
          <w:rFonts w:ascii="Arial" w:hAnsi="Arial" w:cs="Arial"/>
          <w:b/>
          <w:bCs/>
          <w:color w:val="000000" w:themeColor="text1"/>
          <w:lang w:eastAsia="es-ES"/>
        </w:rPr>
      </w:pPr>
    </w:p>
    <w:p w14:paraId="618ECEDD" w14:textId="22FCA634" w:rsidR="00452ED0" w:rsidRPr="007F439C" w:rsidRDefault="00F22C22" w:rsidP="00BC4A8A">
      <w:pPr>
        <w:ind w:left="-567" w:right="-799"/>
        <w:jc w:val="both"/>
        <w:rPr>
          <w:rFonts w:ascii="Arial" w:hAnsi="Arial" w:cs="Arial"/>
          <w:b/>
          <w:bCs/>
          <w:color w:val="000000" w:themeColor="text1"/>
          <w:lang w:eastAsia="es-ES"/>
        </w:rPr>
      </w:pPr>
      <w:r w:rsidRPr="007F439C">
        <w:rPr>
          <w:rFonts w:ascii="Arial" w:hAnsi="Arial" w:cs="Arial"/>
          <w:b/>
          <w:color w:val="000000" w:themeColor="text1"/>
        </w:rPr>
        <w:t>PEDRO FELIPE BUITRAGO RESTREPO</w:t>
      </w:r>
    </w:p>
    <w:sectPr w:rsidR="00452ED0" w:rsidRPr="007F439C" w:rsidSect="00DC5D16">
      <w:headerReference w:type="default" r:id="rId8"/>
      <w:headerReference w:type="first" r:id="rId9"/>
      <w:pgSz w:w="12242" w:h="18722" w:code="120"/>
      <w:pgMar w:top="1418" w:right="1701" w:bottom="993" w:left="1701" w:header="283"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19691" w14:textId="77777777" w:rsidR="003E6075" w:rsidRDefault="003E6075" w:rsidP="002B7796">
      <w:r>
        <w:separator/>
      </w:r>
    </w:p>
  </w:endnote>
  <w:endnote w:type="continuationSeparator" w:id="0">
    <w:p w14:paraId="6B2ADD36" w14:textId="77777777" w:rsidR="003E6075" w:rsidRDefault="003E6075" w:rsidP="002B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A5BF3" w14:textId="77777777" w:rsidR="003E6075" w:rsidRDefault="003E6075" w:rsidP="002B7796">
      <w:r>
        <w:separator/>
      </w:r>
    </w:p>
  </w:footnote>
  <w:footnote w:type="continuationSeparator" w:id="0">
    <w:p w14:paraId="0828856D" w14:textId="77777777" w:rsidR="003E6075" w:rsidRDefault="003E6075" w:rsidP="002B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9A8F" w14:textId="41F7B8FE" w:rsidR="004B0794" w:rsidRPr="007C2FC4" w:rsidRDefault="004B0794" w:rsidP="007C2FC4">
    <w:pPr>
      <w:pStyle w:val="Encabezado"/>
      <w:jc w:val="both"/>
      <w:rPr>
        <w:rFonts w:ascii="Arial" w:eastAsia="Times New Roman" w:hAnsi="Arial" w:cs="Arial"/>
        <w:b/>
        <w:sz w:val="20"/>
        <w:szCs w:val="24"/>
        <w:lang w:val="es-ES" w:eastAsia="es-ES"/>
      </w:rPr>
    </w:pPr>
    <w:r>
      <w:rPr>
        <w:noProof/>
        <w:sz w:val="18"/>
        <w:lang w:eastAsia="es-CO"/>
      </w:rPr>
      <mc:AlternateContent>
        <mc:Choice Requires="wps">
          <w:drawing>
            <wp:anchor distT="0" distB="0" distL="114300" distR="114300" simplePos="0" relativeHeight="251663360" behindDoc="1" locked="0" layoutInCell="1" allowOverlap="1" wp14:anchorId="3B29587E" wp14:editId="10E31F94">
              <wp:simplePos x="0" y="0"/>
              <wp:positionH relativeFrom="margin">
                <wp:posOffset>-584835</wp:posOffset>
              </wp:positionH>
              <wp:positionV relativeFrom="paragraph">
                <wp:posOffset>155575</wp:posOffset>
              </wp:positionV>
              <wp:extent cx="6888480" cy="10957560"/>
              <wp:effectExtent l="0" t="0" r="26670" b="1524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9575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D4E340" w14:textId="7D4989EC" w:rsidR="004B0794" w:rsidRPr="00C81F06" w:rsidRDefault="004B0794" w:rsidP="00AC3EF4">
                          <w:pPr>
                            <w:autoSpaceDE w:val="0"/>
                            <w:autoSpaceDN w:val="0"/>
                            <w:adjustRightInd w:val="0"/>
                            <w:ind w:left="142" w:right="167"/>
                            <w:jc w:val="both"/>
                            <w:rPr>
                              <w:rFonts w:ascii="Arial" w:hAnsi="Arial" w:cs="Arial"/>
                              <w:sz w:val="20"/>
                              <w:lang w:val="es-ES" w:eastAsia="es-ES"/>
                            </w:rPr>
                          </w:pPr>
                          <w:r>
                            <w:rPr>
                              <w:rFonts w:ascii="Arial" w:hAnsi="Arial" w:cs="Arial"/>
                              <w:b/>
                              <w:sz w:val="20"/>
                              <w:lang w:val="es-ES" w:eastAsia="es-ES"/>
                            </w:rPr>
                            <w:ptab w:relativeTo="margin" w:alignment="center" w:leader="none"/>
                          </w:r>
                          <w:r>
                            <w:rPr>
                              <w:rFonts w:ascii="Arial" w:hAnsi="Arial" w:cs="Arial"/>
                              <w:b/>
                              <w:sz w:val="20"/>
                              <w:lang w:val="es-ES" w:eastAsia="es-ES"/>
                            </w:rPr>
                            <w:t>Continuación</w:t>
                          </w:r>
                          <w:r w:rsidRPr="00DD6C0B">
                            <w:rPr>
                              <w:rFonts w:ascii="Arial" w:hAnsi="Arial" w:cs="Arial"/>
                              <w:b/>
                              <w:sz w:val="20"/>
                              <w:lang w:val="es-ES" w:eastAsia="es-ES"/>
                            </w:rPr>
                            <w:t xml:space="preserve"> del Decreto</w:t>
                          </w:r>
                          <w:r w:rsidRPr="00075844">
                            <w:rPr>
                              <w:rFonts w:ascii="Arial" w:hAnsi="Arial" w:cs="Arial"/>
                              <w:sz w:val="20"/>
                              <w:lang w:val="es-ES" w:eastAsia="es-ES"/>
                            </w:rPr>
                            <w:t xml:space="preserve">: </w:t>
                          </w:r>
                          <w:r w:rsidRPr="00AA2362">
                            <w:rPr>
                              <w:rFonts w:ascii="Arial" w:hAnsi="Arial" w:cs="Arial"/>
                              <w:sz w:val="20"/>
                              <w:lang w:eastAsia="es-ES"/>
                            </w:rPr>
                            <w:t>“</w:t>
                          </w:r>
                          <w:r w:rsidR="00C81F06" w:rsidRPr="00C81F06">
                            <w:rPr>
                              <w:rFonts w:ascii="Arial" w:hAnsi="Arial" w:cs="Arial"/>
                              <w:sz w:val="20"/>
                              <w:lang w:val="es-ES" w:eastAsia="es-ES"/>
                            </w:rPr>
                            <w:t>Por el cual se adiciona el Decreto 1080 de 2015, Único Reglamentario del Sector Cultura, y se reglamenta parcialmente la Ley 2070 de 2020</w:t>
                          </w:r>
                          <w:r w:rsidR="00D81071">
                            <w:rPr>
                              <w:rFonts w:ascii="Arial" w:hAnsi="Arial" w:cs="Arial"/>
                              <w:sz w:val="20"/>
                              <w:lang w:eastAsia="es-ES"/>
                            </w:rPr>
                            <w:t>.</w:t>
                          </w:r>
                          <w:r w:rsidRPr="00AA2362">
                            <w:rPr>
                              <w:rFonts w:ascii="Arial" w:hAnsi="Arial" w:cs="Arial"/>
                              <w:sz w:val="20"/>
                              <w:lang w:eastAsia="es-ES"/>
                            </w:rPr>
                            <w:t>”</w:t>
                          </w:r>
                        </w:p>
                        <w:p w14:paraId="3F4F6917" w14:textId="74D130E0" w:rsidR="004B0794" w:rsidRPr="00C616CE" w:rsidRDefault="004B0794" w:rsidP="001A5CE3">
                          <w:pPr>
                            <w:pStyle w:val="Encabezado"/>
                            <w:jc w:val="both"/>
                            <w:rPr>
                              <w:rFonts w:ascii="Arial" w:eastAsia="Times New Roman" w:hAnsi="Arial" w:cs="Arial"/>
                              <w:sz w:val="18"/>
                              <w:szCs w:val="18"/>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587E" id="Rectángulo 1" o:spid="_x0000_s1026" style="position:absolute;left:0;text-align:left;margin-left:-46.05pt;margin-top:12.25pt;width:542.4pt;height:86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" filled="f" strokeweight="2pt">
              <v:textbox>
                <w:txbxContent>
                  <w:p w14:paraId="3BD4E340" w14:textId="7D4989EC" w:rsidR="004B0794" w:rsidRPr="00C81F06" w:rsidRDefault="004B0794" w:rsidP="00AC3EF4">
                    <w:pPr>
                      <w:autoSpaceDE w:val="0"/>
                      <w:autoSpaceDN w:val="0"/>
                      <w:adjustRightInd w:val="0"/>
                      <w:ind w:left="142" w:right="167"/>
                      <w:jc w:val="both"/>
                      <w:rPr>
                        <w:rFonts w:ascii="Arial" w:hAnsi="Arial" w:cs="Arial"/>
                        <w:sz w:val="20"/>
                        <w:lang w:val="es-ES" w:eastAsia="es-ES"/>
                      </w:rPr>
                    </w:pPr>
                    <w:r>
                      <w:rPr>
                        <w:rFonts w:ascii="Arial" w:hAnsi="Arial" w:cs="Arial"/>
                        <w:b/>
                        <w:sz w:val="20"/>
                        <w:lang w:val="es-ES" w:eastAsia="es-ES"/>
                      </w:rPr>
                      <w:ptab w:relativeTo="margin" w:alignment="center" w:leader="none"/>
                    </w:r>
                    <w:r>
                      <w:rPr>
                        <w:rFonts w:ascii="Arial" w:hAnsi="Arial" w:cs="Arial"/>
                        <w:b/>
                        <w:sz w:val="20"/>
                        <w:lang w:val="es-ES" w:eastAsia="es-ES"/>
                      </w:rPr>
                      <w:t>Continuación</w:t>
                    </w:r>
                    <w:r w:rsidRPr="00DD6C0B">
                      <w:rPr>
                        <w:rFonts w:ascii="Arial" w:hAnsi="Arial" w:cs="Arial"/>
                        <w:b/>
                        <w:sz w:val="20"/>
                        <w:lang w:val="es-ES" w:eastAsia="es-ES"/>
                      </w:rPr>
                      <w:t xml:space="preserve"> del Decreto</w:t>
                    </w:r>
                    <w:r w:rsidRPr="00075844">
                      <w:rPr>
                        <w:rFonts w:ascii="Arial" w:hAnsi="Arial" w:cs="Arial"/>
                        <w:sz w:val="20"/>
                        <w:lang w:val="es-ES" w:eastAsia="es-ES"/>
                      </w:rPr>
                      <w:t xml:space="preserve">: </w:t>
                    </w:r>
                    <w:r w:rsidRPr="00AA2362">
                      <w:rPr>
                        <w:rFonts w:ascii="Arial" w:hAnsi="Arial" w:cs="Arial"/>
                        <w:sz w:val="20"/>
                        <w:lang w:eastAsia="es-ES"/>
                      </w:rPr>
                      <w:t>“</w:t>
                    </w:r>
                    <w:r w:rsidR="00C81F06" w:rsidRPr="00C81F06">
                      <w:rPr>
                        <w:rFonts w:ascii="Arial" w:hAnsi="Arial" w:cs="Arial"/>
                        <w:sz w:val="20"/>
                        <w:lang w:val="es-ES" w:eastAsia="es-ES"/>
                      </w:rPr>
                      <w:t>Por el cual se adiciona el Decreto 1080 de 2015, Único Reglamentario del Sector Cultura, y se reglamenta parcialmente la Ley 2070 de 2020</w:t>
                    </w:r>
                    <w:r w:rsidR="00D81071">
                      <w:rPr>
                        <w:rFonts w:ascii="Arial" w:hAnsi="Arial" w:cs="Arial"/>
                        <w:sz w:val="20"/>
                        <w:lang w:eastAsia="es-ES"/>
                      </w:rPr>
                      <w:t>.</w:t>
                    </w:r>
                    <w:r w:rsidRPr="00AA2362">
                      <w:rPr>
                        <w:rFonts w:ascii="Arial" w:hAnsi="Arial" w:cs="Arial"/>
                        <w:sz w:val="20"/>
                        <w:lang w:eastAsia="es-ES"/>
                      </w:rPr>
                      <w:t>”</w:t>
                    </w:r>
                  </w:p>
                  <w:p w14:paraId="3F4F6917" w14:textId="74D130E0" w:rsidR="004B0794" w:rsidRPr="00C616CE" w:rsidRDefault="004B0794" w:rsidP="001A5CE3">
                    <w:pPr>
                      <w:pStyle w:val="Encabezado"/>
                      <w:jc w:val="both"/>
                      <w:rPr>
                        <w:rFonts w:ascii="Arial" w:eastAsia="Times New Roman" w:hAnsi="Arial" w:cs="Arial"/>
                        <w:sz w:val="18"/>
                        <w:szCs w:val="18"/>
                        <w:lang w:eastAsia="es-ES"/>
                      </w:rPr>
                    </w:pPr>
                  </w:p>
                </w:txbxContent>
              </v:textbox>
              <w10:wrap anchorx="margin"/>
            </v:rect>
          </w:pict>
        </mc:Fallback>
      </mc:AlternateContent>
    </w:r>
    <w:sdt>
      <w:sdtPr>
        <w:id w:val="738056189"/>
        <w:docPartObj>
          <w:docPartGallery w:val="Page Numbers (Top of Page)"/>
          <w:docPartUnique/>
        </w:docPartObj>
      </w:sdtPr>
      <w:sdtEndPr/>
      <w:sdtContent>
        <w:r>
          <w:rPr>
            <w:rFonts w:ascii="Arial" w:eastAsia="Times New Roman" w:hAnsi="Arial" w:cs="Arial"/>
            <w:b/>
            <w:sz w:val="20"/>
            <w:szCs w:val="24"/>
            <w:lang w:val="es-ES" w:eastAsia="es-ES"/>
          </w:rPr>
          <w:t>DECRETO                       DE 202</w:t>
        </w:r>
        <w:r w:rsidR="00C5294E">
          <w:rPr>
            <w:rFonts w:ascii="Arial" w:eastAsia="Times New Roman" w:hAnsi="Arial" w:cs="Arial"/>
            <w:b/>
            <w:sz w:val="20"/>
            <w:szCs w:val="24"/>
            <w:lang w:val="es-ES" w:eastAsia="es-ES"/>
          </w:rPr>
          <w:t>1</w:t>
        </w:r>
        <w:r>
          <w:rPr>
            <w:rFonts w:ascii="Arial" w:eastAsia="Times New Roman" w:hAnsi="Arial" w:cs="Arial"/>
            <w:b/>
            <w:sz w:val="20"/>
            <w:szCs w:val="24"/>
            <w:lang w:val="es-ES" w:eastAsia="es-ES"/>
          </w:rPr>
          <w:t xml:space="preserve">                                                                  </w:t>
        </w:r>
        <w:r w:rsidRPr="004B08B9">
          <w:rPr>
            <w:rFonts w:ascii="Arial" w:eastAsia="Times New Roman" w:hAnsi="Arial" w:cs="Arial"/>
            <w:b/>
            <w:sz w:val="20"/>
            <w:szCs w:val="24"/>
            <w:lang w:val="es-ES" w:eastAsia="es-ES"/>
          </w:rPr>
          <w:t xml:space="preserve">Página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PAGE  \* Arabic  \* MERGEFORMAT</w:instrText>
        </w:r>
        <w:r w:rsidRPr="004B08B9">
          <w:rPr>
            <w:rFonts w:ascii="Arial" w:eastAsia="Times New Roman" w:hAnsi="Arial" w:cs="Arial"/>
            <w:b/>
            <w:bCs/>
            <w:sz w:val="20"/>
            <w:szCs w:val="24"/>
            <w:lang w:val="es-ES" w:eastAsia="es-ES"/>
          </w:rPr>
          <w:fldChar w:fldCharType="separate"/>
        </w:r>
        <w:r w:rsidR="00DC4733">
          <w:rPr>
            <w:rFonts w:ascii="Arial" w:eastAsia="Times New Roman" w:hAnsi="Arial" w:cs="Arial"/>
            <w:b/>
            <w:bCs/>
            <w:noProof/>
            <w:sz w:val="20"/>
            <w:szCs w:val="24"/>
            <w:lang w:val="es-ES" w:eastAsia="es-ES"/>
          </w:rPr>
          <w:t>2</w:t>
        </w:r>
        <w:r w:rsidRPr="004B08B9">
          <w:rPr>
            <w:rFonts w:ascii="Arial" w:eastAsia="Times New Roman" w:hAnsi="Arial" w:cs="Arial"/>
            <w:b/>
            <w:bCs/>
            <w:sz w:val="20"/>
            <w:szCs w:val="24"/>
            <w:lang w:val="es-ES" w:eastAsia="es-ES"/>
          </w:rPr>
          <w:fldChar w:fldCharType="end"/>
        </w:r>
        <w:r w:rsidRPr="004B08B9">
          <w:rPr>
            <w:rFonts w:ascii="Arial" w:eastAsia="Times New Roman" w:hAnsi="Arial" w:cs="Arial"/>
            <w:b/>
            <w:sz w:val="20"/>
            <w:szCs w:val="24"/>
            <w:lang w:val="es-ES" w:eastAsia="es-ES"/>
          </w:rPr>
          <w:t xml:space="preserve"> de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NUMPAGES  \* Arabic  \* MERGEFORMAT</w:instrText>
        </w:r>
        <w:r w:rsidRPr="004B08B9">
          <w:rPr>
            <w:rFonts w:ascii="Arial" w:eastAsia="Times New Roman" w:hAnsi="Arial" w:cs="Arial"/>
            <w:b/>
            <w:bCs/>
            <w:sz w:val="20"/>
            <w:szCs w:val="24"/>
            <w:lang w:val="es-ES" w:eastAsia="es-ES"/>
          </w:rPr>
          <w:fldChar w:fldCharType="separate"/>
        </w:r>
        <w:r w:rsidR="00DC4733">
          <w:rPr>
            <w:rFonts w:ascii="Arial" w:eastAsia="Times New Roman" w:hAnsi="Arial" w:cs="Arial"/>
            <w:b/>
            <w:bCs/>
            <w:noProof/>
            <w:sz w:val="20"/>
            <w:szCs w:val="24"/>
            <w:lang w:val="es-ES" w:eastAsia="es-ES"/>
          </w:rPr>
          <w:t>10</w:t>
        </w:r>
        <w:r w:rsidRPr="004B08B9">
          <w:rPr>
            <w:rFonts w:ascii="Arial" w:eastAsia="Times New Roman" w:hAnsi="Arial" w:cs="Arial"/>
            <w:b/>
            <w:bCs/>
            <w:sz w:val="20"/>
            <w:szCs w:val="24"/>
            <w:lang w:val="es-ES" w:eastAsia="es-ES"/>
          </w:rPr>
          <w:fldChar w:fldCharType="end"/>
        </w:r>
      </w:sdtContent>
    </w:sdt>
  </w:p>
  <w:p w14:paraId="7E623A4F" w14:textId="07923131" w:rsidR="004B0794" w:rsidRPr="00AF3005" w:rsidRDefault="004B0794" w:rsidP="007C2FC4">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E593" w14:textId="77777777" w:rsidR="004B0794" w:rsidRPr="00AF3005" w:rsidRDefault="004B0794" w:rsidP="007C2FC4">
    <w:pPr>
      <w:rPr>
        <w:rFonts w:ascii="Arial" w:hAnsi="Arial" w:cs="Arial"/>
      </w:rPr>
    </w:pPr>
    <w:r>
      <w:rPr>
        <w:noProof/>
        <w:lang w:eastAsia="es-CO"/>
      </w:rPr>
      <mc:AlternateContent>
        <mc:Choice Requires="wps">
          <w:drawing>
            <wp:anchor distT="0" distB="0" distL="114300" distR="114300" simplePos="0" relativeHeight="251661312" behindDoc="1" locked="0" layoutInCell="1" allowOverlap="1" wp14:anchorId="4DF7F2E7" wp14:editId="496E0020">
              <wp:simplePos x="0" y="0"/>
              <wp:positionH relativeFrom="page">
                <wp:posOffset>575310</wp:posOffset>
              </wp:positionH>
              <wp:positionV relativeFrom="page">
                <wp:posOffset>718820</wp:posOffset>
              </wp:positionV>
              <wp:extent cx="6830695" cy="10717200"/>
              <wp:effectExtent l="12700" t="12700" r="14605" b="1460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72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1208" id="Rectángulo 2" o:spid="_x0000_s1026" style="position:absolute;margin-left:45.3pt;margin-top:56.6pt;width:537.85pt;height:84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" filled="f" strokeweight="2pt">
              <w10:wrap anchorx="page" anchory="page"/>
            </v:rect>
          </w:pict>
        </mc:Fallback>
      </mc:AlternateContent>
    </w:r>
    <w:r w:rsidR="00443DD4">
      <w:rPr>
        <w:rFonts w:ascii="Arial" w:hAnsi="Arial" w:cs="Arial"/>
        <w:noProof/>
        <w:lang w:val="es-ES_tradnl" w:eastAsia="es-ES"/>
      </w:rPr>
      <w:pict w14:anchorId="5C716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78.9pt;margin-top:-10.65pt;width:104.3pt;height:57.05pt;z-index:251658240;visibility:visible;mso-wrap-edited:f;mso-width-percent:0;mso-height-percent:0;mso-position-horizontal-relative:text;mso-position-vertical-relative:text;mso-width-percent:0;mso-height-percent:0" o:allowoverlap="f">
          <v:imagedata r:id="rId1" o:title=""/>
          <w10:wrap type="square"/>
        </v:shape>
      </w:pict>
    </w:r>
  </w:p>
  <w:p w14:paraId="1CADFE17" w14:textId="77777777" w:rsidR="004B0794" w:rsidRPr="00AF3005" w:rsidRDefault="004B0794" w:rsidP="007C2FC4">
    <w:pPr>
      <w:pStyle w:val="Encabezado"/>
      <w:tabs>
        <w:tab w:val="left" w:pos="9000"/>
        <w:tab w:val="right" w:leader="underscore" w:pos="10530"/>
      </w:tabs>
      <w:rPr>
        <w:rFonts w:ascii="Arial" w:hAnsi="Arial" w:cs="Arial"/>
        <w:sz w:val="24"/>
        <w:szCs w:val="24"/>
      </w:rPr>
    </w:pPr>
  </w:p>
  <w:p w14:paraId="59F968FC" w14:textId="77777777" w:rsidR="004B0794" w:rsidRPr="00AF3005" w:rsidRDefault="004B0794" w:rsidP="007C2FC4">
    <w:pPr>
      <w:pStyle w:val="Encabezado"/>
      <w:jc w:val="right"/>
      <w:rPr>
        <w:rFonts w:ascii="Arial" w:hAnsi="Arial" w:cs="Arial"/>
        <w:b/>
        <w:sz w:val="24"/>
        <w:szCs w:val="24"/>
      </w:rPr>
    </w:pPr>
  </w:p>
  <w:p w14:paraId="503D60F7" w14:textId="77777777" w:rsidR="004B0794" w:rsidRPr="00AF3005" w:rsidRDefault="004B0794" w:rsidP="007C2FC4">
    <w:pPr>
      <w:pStyle w:val="Encabezado"/>
      <w:rPr>
        <w:rFonts w:ascii="Arial" w:hAnsi="Arial" w:cs="Arial"/>
        <w:b/>
        <w:sz w:val="24"/>
        <w:szCs w:val="24"/>
      </w:rPr>
    </w:pPr>
  </w:p>
  <w:p w14:paraId="5DBDC044" w14:textId="77777777" w:rsidR="004B0794" w:rsidRPr="00AF3005" w:rsidRDefault="004B0794" w:rsidP="007C2FC4">
    <w:pPr>
      <w:pStyle w:val="Encabezado"/>
      <w:jc w:val="center"/>
      <w:rPr>
        <w:rFonts w:ascii="Arial" w:hAnsi="Arial" w:cs="Arial"/>
        <w:b/>
        <w:sz w:val="24"/>
        <w:szCs w:val="24"/>
      </w:rPr>
    </w:pPr>
    <w:r w:rsidRPr="00AF3005">
      <w:rPr>
        <w:rFonts w:ascii="Arial" w:hAnsi="Arial" w:cs="Arial"/>
        <w:b/>
        <w:sz w:val="24"/>
        <w:szCs w:val="24"/>
      </w:rPr>
      <w:t xml:space="preserve">MINISTERIO DE CULTURA </w:t>
    </w:r>
  </w:p>
  <w:p w14:paraId="5385D70E" w14:textId="77777777" w:rsidR="004B0794" w:rsidRDefault="004B0794" w:rsidP="007C2FC4">
    <w:pPr>
      <w:pStyle w:val="Encabezado"/>
      <w:jc w:val="center"/>
      <w:rPr>
        <w:rFonts w:ascii="Arial" w:hAnsi="Arial" w:cs="Arial"/>
        <w:b/>
        <w:sz w:val="24"/>
        <w:szCs w:val="24"/>
      </w:rPr>
    </w:pPr>
  </w:p>
  <w:p w14:paraId="50981292" w14:textId="77777777" w:rsidR="004B0794" w:rsidRDefault="004B0794" w:rsidP="007C2FC4">
    <w:pPr>
      <w:pStyle w:val="Encabezado"/>
      <w:jc w:val="center"/>
      <w:rPr>
        <w:rFonts w:ascii="Arial" w:hAnsi="Arial" w:cs="Arial"/>
        <w:b/>
        <w:sz w:val="24"/>
        <w:szCs w:val="24"/>
      </w:rPr>
    </w:pPr>
  </w:p>
  <w:p w14:paraId="750D46C0" w14:textId="77777777" w:rsidR="004B0794" w:rsidRPr="00AF3005" w:rsidRDefault="004B0794" w:rsidP="007C2FC4">
    <w:pPr>
      <w:pStyle w:val="Encabezado"/>
      <w:jc w:val="center"/>
      <w:rPr>
        <w:rFonts w:ascii="Arial" w:hAnsi="Arial" w:cs="Arial"/>
        <w:b/>
        <w:sz w:val="24"/>
        <w:szCs w:val="24"/>
      </w:rPr>
    </w:pPr>
  </w:p>
  <w:p w14:paraId="19601A2E" w14:textId="005408A8" w:rsidR="004B0794" w:rsidRPr="00AF3005" w:rsidRDefault="004B0794" w:rsidP="007C2FC4">
    <w:pPr>
      <w:pStyle w:val="Encabezado"/>
      <w:jc w:val="center"/>
      <w:rPr>
        <w:rFonts w:ascii="Arial" w:hAnsi="Arial" w:cs="Arial"/>
        <w:b/>
        <w:sz w:val="24"/>
        <w:szCs w:val="24"/>
      </w:rPr>
    </w:pPr>
    <w:r w:rsidRPr="00AF3005">
      <w:rPr>
        <w:rFonts w:ascii="Arial" w:hAnsi="Arial" w:cs="Arial"/>
        <w:b/>
        <w:sz w:val="24"/>
        <w:szCs w:val="24"/>
      </w:rPr>
      <w:t>DECRETO NÚMERO</w:t>
    </w:r>
    <w:r>
      <w:rPr>
        <w:rFonts w:ascii="Arial" w:hAnsi="Arial" w:cs="Arial"/>
        <w:b/>
        <w:sz w:val="24"/>
        <w:szCs w:val="24"/>
      </w:rPr>
      <w:t>_________________________DE 202</w:t>
    </w:r>
    <w:r w:rsidR="00D2152A">
      <w:rPr>
        <w:rFonts w:ascii="Arial" w:hAnsi="Arial" w:cs="Arial"/>
        <w:b/>
        <w:sz w:val="24"/>
        <w:szCs w:val="24"/>
      </w:rPr>
      <w:t>1</w:t>
    </w:r>
  </w:p>
  <w:p w14:paraId="16D915E1" w14:textId="77777777" w:rsidR="004B0794" w:rsidRDefault="004B0794" w:rsidP="007C2FC4">
    <w:pPr>
      <w:pStyle w:val="Encabezado"/>
    </w:pPr>
  </w:p>
  <w:p w14:paraId="212910F0" w14:textId="77777777" w:rsidR="004B0794" w:rsidRDefault="004B0794" w:rsidP="007C2FC4">
    <w:pPr>
      <w:pStyle w:val="Encabezado"/>
    </w:pPr>
  </w:p>
  <w:p w14:paraId="3F7B8381" w14:textId="77777777" w:rsidR="004B0794" w:rsidRPr="00AF3005" w:rsidRDefault="004B0794" w:rsidP="007C2F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978"/>
    <w:multiLevelType w:val="hybridMultilevel"/>
    <w:tmpl w:val="DA7A2E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5B38D5"/>
    <w:multiLevelType w:val="hybridMultilevel"/>
    <w:tmpl w:val="18BC66C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7D73587"/>
    <w:multiLevelType w:val="hybridMultilevel"/>
    <w:tmpl w:val="4F2A845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3CC14DD"/>
    <w:multiLevelType w:val="hybridMultilevel"/>
    <w:tmpl w:val="119CE17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4E46818"/>
    <w:multiLevelType w:val="hybridMultilevel"/>
    <w:tmpl w:val="587ACF6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3057408"/>
    <w:multiLevelType w:val="hybridMultilevel"/>
    <w:tmpl w:val="747C441A"/>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570A51EC"/>
    <w:multiLevelType w:val="hybridMultilevel"/>
    <w:tmpl w:val="485A1AE8"/>
    <w:lvl w:ilvl="0" w:tplc="24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DD2701A"/>
    <w:multiLevelType w:val="hybridMultilevel"/>
    <w:tmpl w:val="DFD46A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347C01"/>
    <w:multiLevelType w:val="hybridMultilevel"/>
    <w:tmpl w:val="1644A3F8"/>
    <w:lvl w:ilvl="0" w:tplc="07ACCD6E">
      <w:start w:val="1"/>
      <w:numFmt w:val="decimal"/>
      <w:lvlText w:val="%1."/>
      <w:lvlJc w:val="left"/>
      <w:pPr>
        <w:ind w:left="720" w:hanging="360"/>
      </w:pPr>
    </w:lvl>
    <w:lvl w:ilvl="1" w:tplc="78B4FE94">
      <w:start w:val="1"/>
      <w:numFmt w:val="lowerLetter"/>
      <w:lvlText w:val="%2."/>
      <w:lvlJc w:val="left"/>
      <w:pPr>
        <w:ind w:left="1440" w:hanging="360"/>
      </w:pPr>
    </w:lvl>
    <w:lvl w:ilvl="2" w:tplc="0E2619D4">
      <w:start w:val="1"/>
      <w:numFmt w:val="lowerRoman"/>
      <w:lvlText w:val="%3."/>
      <w:lvlJc w:val="right"/>
      <w:pPr>
        <w:ind w:left="2160" w:hanging="180"/>
      </w:pPr>
    </w:lvl>
    <w:lvl w:ilvl="3" w:tplc="48741790">
      <w:start w:val="1"/>
      <w:numFmt w:val="decimal"/>
      <w:lvlText w:val="%4."/>
      <w:lvlJc w:val="left"/>
      <w:pPr>
        <w:ind w:left="2880" w:hanging="360"/>
      </w:pPr>
    </w:lvl>
    <w:lvl w:ilvl="4" w:tplc="55143086">
      <w:start w:val="1"/>
      <w:numFmt w:val="lowerLetter"/>
      <w:lvlText w:val="%5."/>
      <w:lvlJc w:val="left"/>
      <w:pPr>
        <w:ind w:left="3600" w:hanging="360"/>
      </w:pPr>
    </w:lvl>
    <w:lvl w:ilvl="5" w:tplc="E8F6A3B4">
      <w:start w:val="1"/>
      <w:numFmt w:val="lowerRoman"/>
      <w:lvlText w:val="%6."/>
      <w:lvlJc w:val="right"/>
      <w:pPr>
        <w:ind w:left="4320" w:hanging="180"/>
      </w:pPr>
    </w:lvl>
    <w:lvl w:ilvl="6" w:tplc="C6BA81E8">
      <w:start w:val="1"/>
      <w:numFmt w:val="decimal"/>
      <w:lvlText w:val="%7."/>
      <w:lvlJc w:val="left"/>
      <w:pPr>
        <w:ind w:left="5040" w:hanging="360"/>
      </w:pPr>
    </w:lvl>
    <w:lvl w:ilvl="7" w:tplc="346C83D4">
      <w:start w:val="1"/>
      <w:numFmt w:val="lowerLetter"/>
      <w:lvlText w:val="%8."/>
      <w:lvlJc w:val="left"/>
      <w:pPr>
        <w:ind w:left="5760" w:hanging="360"/>
      </w:pPr>
    </w:lvl>
    <w:lvl w:ilvl="8" w:tplc="FEF46D98">
      <w:start w:val="1"/>
      <w:numFmt w:val="lowerRoman"/>
      <w:lvlText w:val="%9."/>
      <w:lvlJc w:val="right"/>
      <w:pPr>
        <w:ind w:left="6480" w:hanging="180"/>
      </w:pPr>
    </w:lvl>
  </w:abstractNum>
  <w:abstractNum w:abstractNumId="10" w15:restartNumberingAfterBreak="0">
    <w:nsid w:val="71261199"/>
    <w:multiLevelType w:val="hybridMultilevel"/>
    <w:tmpl w:val="ABE27C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3"/>
  </w:num>
  <w:num w:numId="5">
    <w:abstractNumId w:val="1"/>
  </w:num>
  <w:num w:numId="6">
    <w:abstractNumId w:val="10"/>
  </w:num>
  <w:num w:numId="7">
    <w:abstractNumId w:val="7"/>
  </w:num>
  <w:num w:numId="8">
    <w:abstractNumId w:val="0"/>
  </w:num>
  <w:num w:numId="9">
    <w:abstractNumId w:val="5"/>
  </w:num>
  <w:num w:numId="10">
    <w:abstractNumId w:val="8"/>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F3"/>
    <w:rsid w:val="00000DE8"/>
    <w:rsid w:val="00002B6C"/>
    <w:rsid w:val="000042D9"/>
    <w:rsid w:val="000046F6"/>
    <w:rsid w:val="00007CC1"/>
    <w:rsid w:val="000113F2"/>
    <w:rsid w:val="0001276F"/>
    <w:rsid w:val="00012C2B"/>
    <w:rsid w:val="00013084"/>
    <w:rsid w:val="00013593"/>
    <w:rsid w:val="000167DC"/>
    <w:rsid w:val="00021C0B"/>
    <w:rsid w:val="00023897"/>
    <w:rsid w:val="000242F7"/>
    <w:rsid w:val="0002441F"/>
    <w:rsid w:val="00026A19"/>
    <w:rsid w:val="00027F6D"/>
    <w:rsid w:val="000300F3"/>
    <w:rsid w:val="00030E3A"/>
    <w:rsid w:val="0003281C"/>
    <w:rsid w:val="000344E1"/>
    <w:rsid w:val="0003479B"/>
    <w:rsid w:val="00035F54"/>
    <w:rsid w:val="00036198"/>
    <w:rsid w:val="00036CB0"/>
    <w:rsid w:val="0003732C"/>
    <w:rsid w:val="0004110C"/>
    <w:rsid w:val="000422F7"/>
    <w:rsid w:val="00042524"/>
    <w:rsid w:val="0004301B"/>
    <w:rsid w:val="00043049"/>
    <w:rsid w:val="0004399C"/>
    <w:rsid w:val="00045202"/>
    <w:rsid w:val="00045EE1"/>
    <w:rsid w:val="00046615"/>
    <w:rsid w:val="00050E52"/>
    <w:rsid w:val="00050E68"/>
    <w:rsid w:val="00053318"/>
    <w:rsid w:val="000541F9"/>
    <w:rsid w:val="0005728C"/>
    <w:rsid w:val="000613E4"/>
    <w:rsid w:val="00062592"/>
    <w:rsid w:val="000655F9"/>
    <w:rsid w:val="00066099"/>
    <w:rsid w:val="00066795"/>
    <w:rsid w:val="0007559B"/>
    <w:rsid w:val="00075DBC"/>
    <w:rsid w:val="0007723C"/>
    <w:rsid w:val="000800EA"/>
    <w:rsid w:val="00080995"/>
    <w:rsid w:val="00082504"/>
    <w:rsid w:val="00084394"/>
    <w:rsid w:val="000906DD"/>
    <w:rsid w:val="0009108C"/>
    <w:rsid w:val="00092B9B"/>
    <w:rsid w:val="000944A9"/>
    <w:rsid w:val="00094AE1"/>
    <w:rsid w:val="0009782C"/>
    <w:rsid w:val="000A6EC7"/>
    <w:rsid w:val="000A72E0"/>
    <w:rsid w:val="000B08ED"/>
    <w:rsid w:val="000B1205"/>
    <w:rsid w:val="000B268E"/>
    <w:rsid w:val="000B38F5"/>
    <w:rsid w:val="000B3A01"/>
    <w:rsid w:val="000B7B98"/>
    <w:rsid w:val="000B7E43"/>
    <w:rsid w:val="000C01A5"/>
    <w:rsid w:val="000C26A2"/>
    <w:rsid w:val="000C27F7"/>
    <w:rsid w:val="000D1221"/>
    <w:rsid w:val="000D5DF4"/>
    <w:rsid w:val="000D7107"/>
    <w:rsid w:val="000D7DED"/>
    <w:rsid w:val="000E04B1"/>
    <w:rsid w:val="000E0A10"/>
    <w:rsid w:val="000E1301"/>
    <w:rsid w:val="000E27D8"/>
    <w:rsid w:val="000E3A64"/>
    <w:rsid w:val="000E5713"/>
    <w:rsid w:val="000E5D41"/>
    <w:rsid w:val="000E7301"/>
    <w:rsid w:val="000F19D6"/>
    <w:rsid w:val="000F1ACA"/>
    <w:rsid w:val="000F3F3E"/>
    <w:rsid w:val="000F4F60"/>
    <w:rsid w:val="000F514D"/>
    <w:rsid w:val="000F550F"/>
    <w:rsid w:val="001014CC"/>
    <w:rsid w:val="001016DB"/>
    <w:rsid w:val="00101819"/>
    <w:rsid w:val="00106927"/>
    <w:rsid w:val="00111B7B"/>
    <w:rsid w:val="00113360"/>
    <w:rsid w:val="00117559"/>
    <w:rsid w:val="00122714"/>
    <w:rsid w:val="00124730"/>
    <w:rsid w:val="0012666A"/>
    <w:rsid w:val="00130309"/>
    <w:rsid w:val="00131264"/>
    <w:rsid w:val="0013374E"/>
    <w:rsid w:val="001340CC"/>
    <w:rsid w:val="0013416D"/>
    <w:rsid w:val="00134858"/>
    <w:rsid w:val="001349CD"/>
    <w:rsid w:val="001371BC"/>
    <w:rsid w:val="00140CFB"/>
    <w:rsid w:val="0014114B"/>
    <w:rsid w:val="001411D4"/>
    <w:rsid w:val="00146920"/>
    <w:rsid w:val="00147078"/>
    <w:rsid w:val="0015062B"/>
    <w:rsid w:val="00150B73"/>
    <w:rsid w:val="00150B9A"/>
    <w:rsid w:val="00152C81"/>
    <w:rsid w:val="00153368"/>
    <w:rsid w:val="0015360A"/>
    <w:rsid w:val="00154F45"/>
    <w:rsid w:val="001610F5"/>
    <w:rsid w:val="0017040A"/>
    <w:rsid w:val="001715EA"/>
    <w:rsid w:val="0017164D"/>
    <w:rsid w:val="00172316"/>
    <w:rsid w:val="00172E99"/>
    <w:rsid w:val="00174409"/>
    <w:rsid w:val="00174B59"/>
    <w:rsid w:val="00176F7A"/>
    <w:rsid w:val="0017709D"/>
    <w:rsid w:val="00180508"/>
    <w:rsid w:val="0018055E"/>
    <w:rsid w:val="00185522"/>
    <w:rsid w:val="001938C7"/>
    <w:rsid w:val="001949E0"/>
    <w:rsid w:val="001A28BB"/>
    <w:rsid w:val="001A2E8A"/>
    <w:rsid w:val="001A3451"/>
    <w:rsid w:val="001A4257"/>
    <w:rsid w:val="001A5CE3"/>
    <w:rsid w:val="001A5D00"/>
    <w:rsid w:val="001A60F0"/>
    <w:rsid w:val="001B0BDC"/>
    <w:rsid w:val="001B2321"/>
    <w:rsid w:val="001B2A6E"/>
    <w:rsid w:val="001B6AC7"/>
    <w:rsid w:val="001C02AF"/>
    <w:rsid w:val="001C31F7"/>
    <w:rsid w:val="001C4EE4"/>
    <w:rsid w:val="001C5EF8"/>
    <w:rsid w:val="001C68AB"/>
    <w:rsid w:val="001C76A1"/>
    <w:rsid w:val="001C77E1"/>
    <w:rsid w:val="001D16D5"/>
    <w:rsid w:val="001D3289"/>
    <w:rsid w:val="001D3343"/>
    <w:rsid w:val="001D6AD7"/>
    <w:rsid w:val="001E04C5"/>
    <w:rsid w:val="001E16FF"/>
    <w:rsid w:val="001E3C39"/>
    <w:rsid w:val="001E7593"/>
    <w:rsid w:val="001F7134"/>
    <w:rsid w:val="001F7265"/>
    <w:rsid w:val="0020414F"/>
    <w:rsid w:val="002115E1"/>
    <w:rsid w:val="0021169E"/>
    <w:rsid w:val="00212043"/>
    <w:rsid w:val="00213DAB"/>
    <w:rsid w:val="00215001"/>
    <w:rsid w:val="00217E3A"/>
    <w:rsid w:val="00222281"/>
    <w:rsid w:val="00222366"/>
    <w:rsid w:val="002233FA"/>
    <w:rsid w:val="00226844"/>
    <w:rsid w:val="002341CA"/>
    <w:rsid w:val="00235385"/>
    <w:rsid w:val="002358AB"/>
    <w:rsid w:val="00236FD2"/>
    <w:rsid w:val="0024142A"/>
    <w:rsid w:val="00242224"/>
    <w:rsid w:val="00244A55"/>
    <w:rsid w:val="0024515A"/>
    <w:rsid w:val="00245558"/>
    <w:rsid w:val="002465D4"/>
    <w:rsid w:val="0025006D"/>
    <w:rsid w:val="002529AD"/>
    <w:rsid w:val="002538AD"/>
    <w:rsid w:val="00254147"/>
    <w:rsid w:val="0025444A"/>
    <w:rsid w:val="00256605"/>
    <w:rsid w:val="002577D1"/>
    <w:rsid w:val="00260E37"/>
    <w:rsid w:val="00267AD5"/>
    <w:rsid w:val="00267D75"/>
    <w:rsid w:val="002705C9"/>
    <w:rsid w:val="002714A2"/>
    <w:rsid w:val="00271C6B"/>
    <w:rsid w:val="00271D79"/>
    <w:rsid w:val="00272523"/>
    <w:rsid w:val="00272B27"/>
    <w:rsid w:val="002832B4"/>
    <w:rsid w:val="00283591"/>
    <w:rsid w:val="00284154"/>
    <w:rsid w:val="00284ABB"/>
    <w:rsid w:val="002850D2"/>
    <w:rsid w:val="00286A86"/>
    <w:rsid w:val="00291EF8"/>
    <w:rsid w:val="00292ACA"/>
    <w:rsid w:val="00294052"/>
    <w:rsid w:val="0029460D"/>
    <w:rsid w:val="0029475D"/>
    <w:rsid w:val="00295D7D"/>
    <w:rsid w:val="002968EF"/>
    <w:rsid w:val="00297575"/>
    <w:rsid w:val="002979DF"/>
    <w:rsid w:val="00297B1F"/>
    <w:rsid w:val="002A0E0E"/>
    <w:rsid w:val="002A2F6B"/>
    <w:rsid w:val="002B0342"/>
    <w:rsid w:val="002B08AC"/>
    <w:rsid w:val="002B6461"/>
    <w:rsid w:val="002B7796"/>
    <w:rsid w:val="002C0A5C"/>
    <w:rsid w:val="002C0FEB"/>
    <w:rsid w:val="002C2B20"/>
    <w:rsid w:val="002C2DC4"/>
    <w:rsid w:val="002C3899"/>
    <w:rsid w:val="002D079B"/>
    <w:rsid w:val="002D0C55"/>
    <w:rsid w:val="002E04C2"/>
    <w:rsid w:val="002E0EF6"/>
    <w:rsid w:val="002E1773"/>
    <w:rsid w:val="002E2246"/>
    <w:rsid w:val="002E2510"/>
    <w:rsid w:val="002E2B34"/>
    <w:rsid w:val="002E55A0"/>
    <w:rsid w:val="002E5E81"/>
    <w:rsid w:val="002E6AB0"/>
    <w:rsid w:val="002F0811"/>
    <w:rsid w:val="002F14BF"/>
    <w:rsid w:val="002F2294"/>
    <w:rsid w:val="003021FA"/>
    <w:rsid w:val="00304E5C"/>
    <w:rsid w:val="003073C6"/>
    <w:rsid w:val="00307AA9"/>
    <w:rsid w:val="003102ED"/>
    <w:rsid w:val="00314C94"/>
    <w:rsid w:val="00317EA4"/>
    <w:rsid w:val="00320152"/>
    <w:rsid w:val="003202AB"/>
    <w:rsid w:val="003210E8"/>
    <w:rsid w:val="00321315"/>
    <w:rsid w:val="003230E1"/>
    <w:rsid w:val="00323E42"/>
    <w:rsid w:val="003268BC"/>
    <w:rsid w:val="00331340"/>
    <w:rsid w:val="00331511"/>
    <w:rsid w:val="003323D8"/>
    <w:rsid w:val="003345A7"/>
    <w:rsid w:val="00336396"/>
    <w:rsid w:val="00336CCE"/>
    <w:rsid w:val="003404C1"/>
    <w:rsid w:val="003414A5"/>
    <w:rsid w:val="00343BF1"/>
    <w:rsid w:val="00345F74"/>
    <w:rsid w:val="00346ED5"/>
    <w:rsid w:val="00347EBD"/>
    <w:rsid w:val="0035036B"/>
    <w:rsid w:val="00353420"/>
    <w:rsid w:val="00353EA3"/>
    <w:rsid w:val="0035617B"/>
    <w:rsid w:val="003577BB"/>
    <w:rsid w:val="003648EF"/>
    <w:rsid w:val="00365407"/>
    <w:rsid w:val="00374D7A"/>
    <w:rsid w:val="00377A63"/>
    <w:rsid w:val="0039004D"/>
    <w:rsid w:val="00391FF3"/>
    <w:rsid w:val="00394C9F"/>
    <w:rsid w:val="00394D73"/>
    <w:rsid w:val="00397C09"/>
    <w:rsid w:val="003A2895"/>
    <w:rsid w:val="003A3F2A"/>
    <w:rsid w:val="003A5B02"/>
    <w:rsid w:val="003B1883"/>
    <w:rsid w:val="003B293B"/>
    <w:rsid w:val="003B44A3"/>
    <w:rsid w:val="003B4F01"/>
    <w:rsid w:val="003B57A7"/>
    <w:rsid w:val="003B6132"/>
    <w:rsid w:val="003B6677"/>
    <w:rsid w:val="003C07DD"/>
    <w:rsid w:val="003C42E0"/>
    <w:rsid w:val="003C72C1"/>
    <w:rsid w:val="003D1557"/>
    <w:rsid w:val="003D30A7"/>
    <w:rsid w:val="003D3BCC"/>
    <w:rsid w:val="003D4EC0"/>
    <w:rsid w:val="003D6641"/>
    <w:rsid w:val="003E2530"/>
    <w:rsid w:val="003E55FA"/>
    <w:rsid w:val="003E5C15"/>
    <w:rsid w:val="003E6075"/>
    <w:rsid w:val="003E6674"/>
    <w:rsid w:val="003E7A23"/>
    <w:rsid w:val="003F2184"/>
    <w:rsid w:val="003F689C"/>
    <w:rsid w:val="003F702E"/>
    <w:rsid w:val="00402576"/>
    <w:rsid w:val="00403F9A"/>
    <w:rsid w:val="00404AC0"/>
    <w:rsid w:val="004066EA"/>
    <w:rsid w:val="00407C21"/>
    <w:rsid w:val="00410027"/>
    <w:rsid w:val="004103BC"/>
    <w:rsid w:val="00410BC9"/>
    <w:rsid w:val="00414084"/>
    <w:rsid w:val="00414B38"/>
    <w:rsid w:val="00415216"/>
    <w:rsid w:val="004154D2"/>
    <w:rsid w:val="0041677E"/>
    <w:rsid w:val="004171C0"/>
    <w:rsid w:val="004200BB"/>
    <w:rsid w:val="00420AE9"/>
    <w:rsid w:val="004218CC"/>
    <w:rsid w:val="00425842"/>
    <w:rsid w:val="00430217"/>
    <w:rsid w:val="00430970"/>
    <w:rsid w:val="00430E0F"/>
    <w:rsid w:val="0043470F"/>
    <w:rsid w:val="00435729"/>
    <w:rsid w:val="004361A5"/>
    <w:rsid w:val="00437003"/>
    <w:rsid w:val="004408B2"/>
    <w:rsid w:val="00440D3F"/>
    <w:rsid w:val="00443796"/>
    <w:rsid w:val="00443DD4"/>
    <w:rsid w:val="00445035"/>
    <w:rsid w:val="0044745A"/>
    <w:rsid w:val="00451BFA"/>
    <w:rsid w:val="00452B60"/>
    <w:rsid w:val="00452ED0"/>
    <w:rsid w:val="00454304"/>
    <w:rsid w:val="004556E7"/>
    <w:rsid w:val="004567B7"/>
    <w:rsid w:val="00456DE2"/>
    <w:rsid w:val="0045749E"/>
    <w:rsid w:val="00457F0F"/>
    <w:rsid w:val="00460C1C"/>
    <w:rsid w:val="00460EA9"/>
    <w:rsid w:val="00462157"/>
    <w:rsid w:val="0046369D"/>
    <w:rsid w:val="00465CAF"/>
    <w:rsid w:val="00466270"/>
    <w:rsid w:val="004736A1"/>
    <w:rsid w:val="004771B0"/>
    <w:rsid w:val="00477E4F"/>
    <w:rsid w:val="0048015D"/>
    <w:rsid w:val="0048071F"/>
    <w:rsid w:val="00480774"/>
    <w:rsid w:val="00480868"/>
    <w:rsid w:val="00481A82"/>
    <w:rsid w:val="00482069"/>
    <w:rsid w:val="00485278"/>
    <w:rsid w:val="00490BE1"/>
    <w:rsid w:val="00491EEA"/>
    <w:rsid w:val="00491FE7"/>
    <w:rsid w:val="004940F5"/>
    <w:rsid w:val="00494C62"/>
    <w:rsid w:val="004960B0"/>
    <w:rsid w:val="00497CD0"/>
    <w:rsid w:val="004A1233"/>
    <w:rsid w:val="004A1437"/>
    <w:rsid w:val="004A2540"/>
    <w:rsid w:val="004A615D"/>
    <w:rsid w:val="004B0794"/>
    <w:rsid w:val="004B08B9"/>
    <w:rsid w:val="004B290D"/>
    <w:rsid w:val="004B354B"/>
    <w:rsid w:val="004B5230"/>
    <w:rsid w:val="004C0B86"/>
    <w:rsid w:val="004C12BA"/>
    <w:rsid w:val="004C3952"/>
    <w:rsid w:val="004C6781"/>
    <w:rsid w:val="004C6E6B"/>
    <w:rsid w:val="004C70F5"/>
    <w:rsid w:val="004D2BEA"/>
    <w:rsid w:val="004D55F9"/>
    <w:rsid w:val="004E3082"/>
    <w:rsid w:val="004E6F7A"/>
    <w:rsid w:val="004E73FF"/>
    <w:rsid w:val="004F28BE"/>
    <w:rsid w:val="004F5D73"/>
    <w:rsid w:val="004F6A38"/>
    <w:rsid w:val="004F7B6F"/>
    <w:rsid w:val="004F7D92"/>
    <w:rsid w:val="005017DA"/>
    <w:rsid w:val="00502F23"/>
    <w:rsid w:val="00507E21"/>
    <w:rsid w:val="00511A2E"/>
    <w:rsid w:val="00512150"/>
    <w:rsid w:val="00513B02"/>
    <w:rsid w:val="0051516B"/>
    <w:rsid w:val="00515F13"/>
    <w:rsid w:val="00516508"/>
    <w:rsid w:val="00516742"/>
    <w:rsid w:val="00520F9E"/>
    <w:rsid w:val="0052199D"/>
    <w:rsid w:val="005256A2"/>
    <w:rsid w:val="005269BB"/>
    <w:rsid w:val="00530AA5"/>
    <w:rsid w:val="00530B00"/>
    <w:rsid w:val="00530C7C"/>
    <w:rsid w:val="005331E2"/>
    <w:rsid w:val="00536AC5"/>
    <w:rsid w:val="0054056F"/>
    <w:rsid w:val="00541FC3"/>
    <w:rsid w:val="00543C3D"/>
    <w:rsid w:val="00546D79"/>
    <w:rsid w:val="00546DF8"/>
    <w:rsid w:val="00547BD6"/>
    <w:rsid w:val="005507B8"/>
    <w:rsid w:val="00554760"/>
    <w:rsid w:val="00555A86"/>
    <w:rsid w:val="00555E76"/>
    <w:rsid w:val="00556220"/>
    <w:rsid w:val="005565D4"/>
    <w:rsid w:val="005578EB"/>
    <w:rsid w:val="00560EA2"/>
    <w:rsid w:val="00561887"/>
    <w:rsid w:val="005677E8"/>
    <w:rsid w:val="00567C9F"/>
    <w:rsid w:val="00570199"/>
    <w:rsid w:val="00573B9E"/>
    <w:rsid w:val="005768C0"/>
    <w:rsid w:val="00576FCC"/>
    <w:rsid w:val="0057773E"/>
    <w:rsid w:val="005802BF"/>
    <w:rsid w:val="00581CC4"/>
    <w:rsid w:val="0058212B"/>
    <w:rsid w:val="0058516F"/>
    <w:rsid w:val="005905C0"/>
    <w:rsid w:val="005922CD"/>
    <w:rsid w:val="00594E10"/>
    <w:rsid w:val="005967CA"/>
    <w:rsid w:val="005A05D9"/>
    <w:rsid w:val="005A1376"/>
    <w:rsid w:val="005A2E5E"/>
    <w:rsid w:val="005B00D3"/>
    <w:rsid w:val="005B0A96"/>
    <w:rsid w:val="005B0C9F"/>
    <w:rsid w:val="005B6AA9"/>
    <w:rsid w:val="005B70AB"/>
    <w:rsid w:val="005C095E"/>
    <w:rsid w:val="005C46D8"/>
    <w:rsid w:val="005C5826"/>
    <w:rsid w:val="005C7D9C"/>
    <w:rsid w:val="005D22B4"/>
    <w:rsid w:val="005D375D"/>
    <w:rsid w:val="005D4157"/>
    <w:rsid w:val="005D5F87"/>
    <w:rsid w:val="005D7E33"/>
    <w:rsid w:val="005E259D"/>
    <w:rsid w:val="005E3051"/>
    <w:rsid w:val="005E65FF"/>
    <w:rsid w:val="005F03C1"/>
    <w:rsid w:val="005F16DC"/>
    <w:rsid w:val="005F4954"/>
    <w:rsid w:val="005F5EC3"/>
    <w:rsid w:val="005F7290"/>
    <w:rsid w:val="00603DFC"/>
    <w:rsid w:val="00604D52"/>
    <w:rsid w:val="00604FAA"/>
    <w:rsid w:val="00605136"/>
    <w:rsid w:val="00606211"/>
    <w:rsid w:val="006064A5"/>
    <w:rsid w:val="00606CAF"/>
    <w:rsid w:val="00610889"/>
    <w:rsid w:val="00612209"/>
    <w:rsid w:val="00615269"/>
    <w:rsid w:val="00622974"/>
    <w:rsid w:val="006229D1"/>
    <w:rsid w:val="00622E32"/>
    <w:rsid w:val="00626578"/>
    <w:rsid w:val="006305A8"/>
    <w:rsid w:val="00630993"/>
    <w:rsid w:val="006339D0"/>
    <w:rsid w:val="00635EB5"/>
    <w:rsid w:val="00636C27"/>
    <w:rsid w:val="00642EB1"/>
    <w:rsid w:val="00646822"/>
    <w:rsid w:val="00651156"/>
    <w:rsid w:val="00654274"/>
    <w:rsid w:val="006544B5"/>
    <w:rsid w:val="00655FF0"/>
    <w:rsid w:val="00656E3F"/>
    <w:rsid w:val="00657EF3"/>
    <w:rsid w:val="00660CAD"/>
    <w:rsid w:val="006613BE"/>
    <w:rsid w:val="006655DF"/>
    <w:rsid w:val="006659F7"/>
    <w:rsid w:val="00666F4B"/>
    <w:rsid w:val="00670787"/>
    <w:rsid w:val="00674280"/>
    <w:rsid w:val="006764C6"/>
    <w:rsid w:val="00676EA3"/>
    <w:rsid w:val="00680C11"/>
    <w:rsid w:val="00680F33"/>
    <w:rsid w:val="00681B7E"/>
    <w:rsid w:val="0068442F"/>
    <w:rsid w:val="00692571"/>
    <w:rsid w:val="00693A75"/>
    <w:rsid w:val="00697674"/>
    <w:rsid w:val="00697A72"/>
    <w:rsid w:val="00697E80"/>
    <w:rsid w:val="006A0F98"/>
    <w:rsid w:val="006A1C70"/>
    <w:rsid w:val="006A3980"/>
    <w:rsid w:val="006A3A51"/>
    <w:rsid w:val="006A4126"/>
    <w:rsid w:val="006A47F1"/>
    <w:rsid w:val="006A4AAB"/>
    <w:rsid w:val="006A7A27"/>
    <w:rsid w:val="006A7F46"/>
    <w:rsid w:val="006B0723"/>
    <w:rsid w:val="006B094A"/>
    <w:rsid w:val="006B09FF"/>
    <w:rsid w:val="006B140F"/>
    <w:rsid w:val="006B187E"/>
    <w:rsid w:val="006B1AB6"/>
    <w:rsid w:val="006B254E"/>
    <w:rsid w:val="006B5067"/>
    <w:rsid w:val="006B55FA"/>
    <w:rsid w:val="006B5F73"/>
    <w:rsid w:val="006B738F"/>
    <w:rsid w:val="006C1C3B"/>
    <w:rsid w:val="006C775E"/>
    <w:rsid w:val="006D1DC8"/>
    <w:rsid w:val="006D493A"/>
    <w:rsid w:val="006D5461"/>
    <w:rsid w:val="006D753F"/>
    <w:rsid w:val="006E042D"/>
    <w:rsid w:val="006E1795"/>
    <w:rsid w:val="006E1C18"/>
    <w:rsid w:val="006E3A28"/>
    <w:rsid w:val="006E7275"/>
    <w:rsid w:val="006E7B0E"/>
    <w:rsid w:val="006E7B21"/>
    <w:rsid w:val="006F0F32"/>
    <w:rsid w:val="006F188D"/>
    <w:rsid w:val="006F23FB"/>
    <w:rsid w:val="006F6163"/>
    <w:rsid w:val="0070500B"/>
    <w:rsid w:val="00705465"/>
    <w:rsid w:val="00712D30"/>
    <w:rsid w:val="00714228"/>
    <w:rsid w:val="007142A5"/>
    <w:rsid w:val="00716DAA"/>
    <w:rsid w:val="0072077B"/>
    <w:rsid w:val="00721859"/>
    <w:rsid w:val="00721E2A"/>
    <w:rsid w:val="00722F9F"/>
    <w:rsid w:val="00723F5B"/>
    <w:rsid w:val="007243BF"/>
    <w:rsid w:val="00724D19"/>
    <w:rsid w:val="0072601C"/>
    <w:rsid w:val="00731114"/>
    <w:rsid w:val="007317C9"/>
    <w:rsid w:val="00732CB6"/>
    <w:rsid w:val="00735434"/>
    <w:rsid w:val="00737095"/>
    <w:rsid w:val="00737927"/>
    <w:rsid w:val="00740B98"/>
    <w:rsid w:val="00741750"/>
    <w:rsid w:val="00741A85"/>
    <w:rsid w:val="00742D30"/>
    <w:rsid w:val="00742F2B"/>
    <w:rsid w:val="0074431D"/>
    <w:rsid w:val="00745328"/>
    <w:rsid w:val="00746C61"/>
    <w:rsid w:val="00747CA1"/>
    <w:rsid w:val="00747EFF"/>
    <w:rsid w:val="00750278"/>
    <w:rsid w:val="0075609D"/>
    <w:rsid w:val="00757F98"/>
    <w:rsid w:val="00760991"/>
    <w:rsid w:val="007615C0"/>
    <w:rsid w:val="00762F1C"/>
    <w:rsid w:val="007633C2"/>
    <w:rsid w:val="0076441E"/>
    <w:rsid w:val="007649A7"/>
    <w:rsid w:val="0076537D"/>
    <w:rsid w:val="00770140"/>
    <w:rsid w:val="00770D0C"/>
    <w:rsid w:val="0077101B"/>
    <w:rsid w:val="00776A4D"/>
    <w:rsid w:val="0078092D"/>
    <w:rsid w:val="007815B7"/>
    <w:rsid w:val="00781A77"/>
    <w:rsid w:val="00783223"/>
    <w:rsid w:val="00786FD1"/>
    <w:rsid w:val="007903C6"/>
    <w:rsid w:val="007912FB"/>
    <w:rsid w:val="00792747"/>
    <w:rsid w:val="00796392"/>
    <w:rsid w:val="00796828"/>
    <w:rsid w:val="007A4071"/>
    <w:rsid w:val="007A4F21"/>
    <w:rsid w:val="007A5ABC"/>
    <w:rsid w:val="007A6B88"/>
    <w:rsid w:val="007A761E"/>
    <w:rsid w:val="007A7CD7"/>
    <w:rsid w:val="007B0E54"/>
    <w:rsid w:val="007B108F"/>
    <w:rsid w:val="007B1CD0"/>
    <w:rsid w:val="007B2C28"/>
    <w:rsid w:val="007B6671"/>
    <w:rsid w:val="007C2443"/>
    <w:rsid w:val="007C2FC4"/>
    <w:rsid w:val="007C5EA4"/>
    <w:rsid w:val="007D083A"/>
    <w:rsid w:val="007D1174"/>
    <w:rsid w:val="007D149A"/>
    <w:rsid w:val="007D509D"/>
    <w:rsid w:val="007D6812"/>
    <w:rsid w:val="007E0018"/>
    <w:rsid w:val="007E01DF"/>
    <w:rsid w:val="007E309A"/>
    <w:rsid w:val="007E3564"/>
    <w:rsid w:val="007E4954"/>
    <w:rsid w:val="007E4DFB"/>
    <w:rsid w:val="007E5EA1"/>
    <w:rsid w:val="007E6B53"/>
    <w:rsid w:val="007E6FCA"/>
    <w:rsid w:val="007F2FFA"/>
    <w:rsid w:val="007F3C01"/>
    <w:rsid w:val="007F439C"/>
    <w:rsid w:val="007F4514"/>
    <w:rsid w:val="0080266B"/>
    <w:rsid w:val="008030F3"/>
    <w:rsid w:val="0080357F"/>
    <w:rsid w:val="00803FAD"/>
    <w:rsid w:val="0080458F"/>
    <w:rsid w:val="008225A8"/>
    <w:rsid w:val="008235D2"/>
    <w:rsid w:val="00825AB5"/>
    <w:rsid w:val="0082629A"/>
    <w:rsid w:val="008263C2"/>
    <w:rsid w:val="00830218"/>
    <w:rsid w:val="0083141E"/>
    <w:rsid w:val="00832D7A"/>
    <w:rsid w:val="0083670C"/>
    <w:rsid w:val="008440B9"/>
    <w:rsid w:val="0084458B"/>
    <w:rsid w:val="00845266"/>
    <w:rsid w:val="00845EB3"/>
    <w:rsid w:val="00846BE2"/>
    <w:rsid w:val="00850C7B"/>
    <w:rsid w:val="008550A4"/>
    <w:rsid w:val="008562B5"/>
    <w:rsid w:val="00857409"/>
    <w:rsid w:val="0085741C"/>
    <w:rsid w:val="00857A3C"/>
    <w:rsid w:val="0086185E"/>
    <w:rsid w:val="00861B45"/>
    <w:rsid w:val="00862F8F"/>
    <w:rsid w:val="00865567"/>
    <w:rsid w:val="00865EDE"/>
    <w:rsid w:val="00866FFF"/>
    <w:rsid w:val="00867270"/>
    <w:rsid w:val="00867B13"/>
    <w:rsid w:val="00870ACC"/>
    <w:rsid w:val="0087162C"/>
    <w:rsid w:val="0087294D"/>
    <w:rsid w:val="00874548"/>
    <w:rsid w:val="00874FB8"/>
    <w:rsid w:val="00876DAD"/>
    <w:rsid w:val="0088163A"/>
    <w:rsid w:val="0088249A"/>
    <w:rsid w:val="008843AE"/>
    <w:rsid w:val="00884CF4"/>
    <w:rsid w:val="00886AA8"/>
    <w:rsid w:val="00892F1E"/>
    <w:rsid w:val="00896E0A"/>
    <w:rsid w:val="00897229"/>
    <w:rsid w:val="00897645"/>
    <w:rsid w:val="008A17E4"/>
    <w:rsid w:val="008A20E3"/>
    <w:rsid w:val="008A48C9"/>
    <w:rsid w:val="008A69C0"/>
    <w:rsid w:val="008B06AC"/>
    <w:rsid w:val="008B26A6"/>
    <w:rsid w:val="008B2A0A"/>
    <w:rsid w:val="008B3249"/>
    <w:rsid w:val="008B392C"/>
    <w:rsid w:val="008B409A"/>
    <w:rsid w:val="008B5E2E"/>
    <w:rsid w:val="008B6784"/>
    <w:rsid w:val="008C1375"/>
    <w:rsid w:val="008C14FA"/>
    <w:rsid w:val="008C2822"/>
    <w:rsid w:val="008C38D9"/>
    <w:rsid w:val="008C5AAF"/>
    <w:rsid w:val="008C7D3A"/>
    <w:rsid w:val="008D08C1"/>
    <w:rsid w:val="008D1AA2"/>
    <w:rsid w:val="008D1BBC"/>
    <w:rsid w:val="008D32EC"/>
    <w:rsid w:val="008E166E"/>
    <w:rsid w:val="008E3ED2"/>
    <w:rsid w:val="008E42C3"/>
    <w:rsid w:val="008E4D93"/>
    <w:rsid w:val="008E64E5"/>
    <w:rsid w:val="008E653E"/>
    <w:rsid w:val="008E74D5"/>
    <w:rsid w:val="009004BF"/>
    <w:rsid w:val="00902F64"/>
    <w:rsid w:val="00904712"/>
    <w:rsid w:val="00904BDD"/>
    <w:rsid w:val="00907DBE"/>
    <w:rsid w:val="0091041F"/>
    <w:rsid w:val="00911411"/>
    <w:rsid w:val="00912729"/>
    <w:rsid w:val="00912A88"/>
    <w:rsid w:val="009132B0"/>
    <w:rsid w:val="0091373E"/>
    <w:rsid w:val="00914EC4"/>
    <w:rsid w:val="00917535"/>
    <w:rsid w:val="00917DF1"/>
    <w:rsid w:val="009216ED"/>
    <w:rsid w:val="009238B6"/>
    <w:rsid w:val="009243CF"/>
    <w:rsid w:val="00931055"/>
    <w:rsid w:val="00931AB7"/>
    <w:rsid w:val="009341FE"/>
    <w:rsid w:val="00936CFC"/>
    <w:rsid w:val="009373A3"/>
    <w:rsid w:val="00941E19"/>
    <w:rsid w:val="00945542"/>
    <w:rsid w:val="00945D2C"/>
    <w:rsid w:val="00947CCC"/>
    <w:rsid w:val="00950806"/>
    <w:rsid w:val="0095102C"/>
    <w:rsid w:val="009538C9"/>
    <w:rsid w:val="00954ACE"/>
    <w:rsid w:val="00954E01"/>
    <w:rsid w:val="0095546F"/>
    <w:rsid w:val="00955D70"/>
    <w:rsid w:val="009570AF"/>
    <w:rsid w:val="00957609"/>
    <w:rsid w:val="00960440"/>
    <w:rsid w:val="009609CB"/>
    <w:rsid w:val="00964299"/>
    <w:rsid w:val="0096590D"/>
    <w:rsid w:val="00965AC0"/>
    <w:rsid w:val="00967FBC"/>
    <w:rsid w:val="00970F69"/>
    <w:rsid w:val="009716C8"/>
    <w:rsid w:val="00974E2A"/>
    <w:rsid w:val="00975B27"/>
    <w:rsid w:val="00976D96"/>
    <w:rsid w:val="00980460"/>
    <w:rsid w:val="009833CF"/>
    <w:rsid w:val="00983D7F"/>
    <w:rsid w:val="00990AEC"/>
    <w:rsid w:val="00991CAE"/>
    <w:rsid w:val="0099456F"/>
    <w:rsid w:val="00996C88"/>
    <w:rsid w:val="009970D0"/>
    <w:rsid w:val="009A1E2E"/>
    <w:rsid w:val="009A1F3D"/>
    <w:rsid w:val="009A494A"/>
    <w:rsid w:val="009A6286"/>
    <w:rsid w:val="009B084A"/>
    <w:rsid w:val="009B1356"/>
    <w:rsid w:val="009B1705"/>
    <w:rsid w:val="009B2BF2"/>
    <w:rsid w:val="009B4498"/>
    <w:rsid w:val="009B4DBA"/>
    <w:rsid w:val="009B51A0"/>
    <w:rsid w:val="009B7E91"/>
    <w:rsid w:val="009C0E5F"/>
    <w:rsid w:val="009C225D"/>
    <w:rsid w:val="009C260D"/>
    <w:rsid w:val="009C3A37"/>
    <w:rsid w:val="009C4564"/>
    <w:rsid w:val="009C45AA"/>
    <w:rsid w:val="009D017B"/>
    <w:rsid w:val="009D11C8"/>
    <w:rsid w:val="009D2575"/>
    <w:rsid w:val="009D381A"/>
    <w:rsid w:val="009D3A1F"/>
    <w:rsid w:val="009D4322"/>
    <w:rsid w:val="009E19D9"/>
    <w:rsid w:val="009E37F0"/>
    <w:rsid w:val="009E540A"/>
    <w:rsid w:val="009E6498"/>
    <w:rsid w:val="009E64E7"/>
    <w:rsid w:val="009E6BDD"/>
    <w:rsid w:val="009F08E4"/>
    <w:rsid w:val="009F35E3"/>
    <w:rsid w:val="009F3E7C"/>
    <w:rsid w:val="00A02479"/>
    <w:rsid w:val="00A02914"/>
    <w:rsid w:val="00A031FF"/>
    <w:rsid w:val="00A039BA"/>
    <w:rsid w:val="00A04D62"/>
    <w:rsid w:val="00A073FB"/>
    <w:rsid w:val="00A07C2F"/>
    <w:rsid w:val="00A10692"/>
    <w:rsid w:val="00A11E62"/>
    <w:rsid w:val="00A13604"/>
    <w:rsid w:val="00A14405"/>
    <w:rsid w:val="00A144D3"/>
    <w:rsid w:val="00A14518"/>
    <w:rsid w:val="00A14570"/>
    <w:rsid w:val="00A15D47"/>
    <w:rsid w:val="00A17276"/>
    <w:rsid w:val="00A2094C"/>
    <w:rsid w:val="00A2212F"/>
    <w:rsid w:val="00A249B0"/>
    <w:rsid w:val="00A25EC6"/>
    <w:rsid w:val="00A27745"/>
    <w:rsid w:val="00A27F43"/>
    <w:rsid w:val="00A301D9"/>
    <w:rsid w:val="00A30491"/>
    <w:rsid w:val="00A3051E"/>
    <w:rsid w:val="00A3100A"/>
    <w:rsid w:val="00A37159"/>
    <w:rsid w:val="00A37748"/>
    <w:rsid w:val="00A40A64"/>
    <w:rsid w:val="00A41214"/>
    <w:rsid w:val="00A42E91"/>
    <w:rsid w:val="00A47834"/>
    <w:rsid w:val="00A50687"/>
    <w:rsid w:val="00A50DB3"/>
    <w:rsid w:val="00A51331"/>
    <w:rsid w:val="00A53400"/>
    <w:rsid w:val="00A54EB2"/>
    <w:rsid w:val="00A54EFE"/>
    <w:rsid w:val="00A5586F"/>
    <w:rsid w:val="00A5697F"/>
    <w:rsid w:val="00A56DE6"/>
    <w:rsid w:val="00A600A2"/>
    <w:rsid w:val="00A63B6A"/>
    <w:rsid w:val="00A657EC"/>
    <w:rsid w:val="00A67FF8"/>
    <w:rsid w:val="00A71AD4"/>
    <w:rsid w:val="00A74EB9"/>
    <w:rsid w:val="00A81D0B"/>
    <w:rsid w:val="00A849BD"/>
    <w:rsid w:val="00A867A3"/>
    <w:rsid w:val="00A87B28"/>
    <w:rsid w:val="00A923F9"/>
    <w:rsid w:val="00A92572"/>
    <w:rsid w:val="00A92E8E"/>
    <w:rsid w:val="00A96C49"/>
    <w:rsid w:val="00A96C6C"/>
    <w:rsid w:val="00A96F02"/>
    <w:rsid w:val="00A973D2"/>
    <w:rsid w:val="00AA2362"/>
    <w:rsid w:val="00AA2834"/>
    <w:rsid w:val="00AA3A62"/>
    <w:rsid w:val="00AB0237"/>
    <w:rsid w:val="00AB066B"/>
    <w:rsid w:val="00AB1FA2"/>
    <w:rsid w:val="00AB4E65"/>
    <w:rsid w:val="00AB5215"/>
    <w:rsid w:val="00AB681E"/>
    <w:rsid w:val="00AB6A66"/>
    <w:rsid w:val="00AB6CBE"/>
    <w:rsid w:val="00AB7876"/>
    <w:rsid w:val="00AC10D8"/>
    <w:rsid w:val="00AC3EF4"/>
    <w:rsid w:val="00AC4C9E"/>
    <w:rsid w:val="00AC59D2"/>
    <w:rsid w:val="00AC6E19"/>
    <w:rsid w:val="00AD00C2"/>
    <w:rsid w:val="00AD00F8"/>
    <w:rsid w:val="00AD114A"/>
    <w:rsid w:val="00AD127A"/>
    <w:rsid w:val="00AD79BA"/>
    <w:rsid w:val="00AE06F0"/>
    <w:rsid w:val="00AE186A"/>
    <w:rsid w:val="00AE631A"/>
    <w:rsid w:val="00AE6D85"/>
    <w:rsid w:val="00AF0922"/>
    <w:rsid w:val="00AF1A6D"/>
    <w:rsid w:val="00AF2361"/>
    <w:rsid w:val="00AF26EF"/>
    <w:rsid w:val="00AF3410"/>
    <w:rsid w:val="00AF40A1"/>
    <w:rsid w:val="00B00A80"/>
    <w:rsid w:val="00B00B37"/>
    <w:rsid w:val="00B018FA"/>
    <w:rsid w:val="00B034FD"/>
    <w:rsid w:val="00B04878"/>
    <w:rsid w:val="00B049FE"/>
    <w:rsid w:val="00B04C5F"/>
    <w:rsid w:val="00B077E1"/>
    <w:rsid w:val="00B10C12"/>
    <w:rsid w:val="00B1469E"/>
    <w:rsid w:val="00B2077C"/>
    <w:rsid w:val="00B20A4B"/>
    <w:rsid w:val="00B21FA0"/>
    <w:rsid w:val="00B221D9"/>
    <w:rsid w:val="00B2287F"/>
    <w:rsid w:val="00B2414F"/>
    <w:rsid w:val="00B24A93"/>
    <w:rsid w:val="00B24EC5"/>
    <w:rsid w:val="00B3211F"/>
    <w:rsid w:val="00B333DF"/>
    <w:rsid w:val="00B33A7B"/>
    <w:rsid w:val="00B3537A"/>
    <w:rsid w:val="00B36694"/>
    <w:rsid w:val="00B36A9F"/>
    <w:rsid w:val="00B36C44"/>
    <w:rsid w:val="00B4058B"/>
    <w:rsid w:val="00B40774"/>
    <w:rsid w:val="00B44F21"/>
    <w:rsid w:val="00B46A91"/>
    <w:rsid w:val="00B511ED"/>
    <w:rsid w:val="00B54807"/>
    <w:rsid w:val="00B5510E"/>
    <w:rsid w:val="00B56C29"/>
    <w:rsid w:val="00B57608"/>
    <w:rsid w:val="00B60BD3"/>
    <w:rsid w:val="00B618DC"/>
    <w:rsid w:val="00B64D83"/>
    <w:rsid w:val="00B6510F"/>
    <w:rsid w:val="00B67CB3"/>
    <w:rsid w:val="00B67D7B"/>
    <w:rsid w:val="00B74D54"/>
    <w:rsid w:val="00B81E74"/>
    <w:rsid w:val="00B84D88"/>
    <w:rsid w:val="00B87232"/>
    <w:rsid w:val="00B875E7"/>
    <w:rsid w:val="00B90E01"/>
    <w:rsid w:val="00B92032"/>
    <w:rsid w:val="00B9303D"/>
    <w:rsid w:val="00B93FC4"/>
    <w:rsid w:val="00B96D45"/>
    <w:rsid w:val="00B97333"/>
    <w:rsid w:val="00B974BA"/>
    <w:rsid w:val="00BA013C"/>
    <w:rsid w:val="00BA0C82"/>
    <w:rsid w:val="00BA1DAC"/>
    <w:rsid w:val="00BA3289"/>
    <w:rsid w:val="00BB3638"/>
    <w:rsid w:val="00BB4A45"/>
    <w:rsid w:val="00BB4F90"/>
    <w:rsid w:val="00BB513D"/>
    <w:rsid w:val="00BB5DA6"/>
    <w:rsid w:val="00BB5FC9"/>
    <w:rsid w:val="00BB6994"/>
    <w:rsid w:val="00BC312D"/>
    <w:rsid w:val="00BC4A8A"/>
    <w:rsid w:val="00BC5EEE"/>
    <w:rsid w:val="00BC5FFE"/>
    <w:rsid w:val="00BC604E"/>
    <w:rsid w:val="00BD3554"/>
    <w:rsid w:val="00BD3680"/>
    <w:rsid w:val="00BD3D3C"/>
    <w:rsid w:val="00BD3E5F"/>
    <w:rsid w:val="00BE020D"/>
    <w:rsid w:val="00BE0247"/>
    <w:rsid w:val="00BE0265"/>
    <w:rsid w:val="00BE057E"/>
    <w:rsid w:val="00BE0B5F"/>
    <w:rsid w:val="00BE0D51"/>
    <w:rsid w:val="00BE25BE"/>
    <w:rsid w:val="00BE2FB0"/>
    <w:rsid w:val="00BE32FF"/>
    <w:rsid w:val="00BE403A"/>
    <w:rsid w:val="00BE4D87"/>
    <w:rsid w:val="00BE6B7B"/>
    <w:rsid w:val="00BE71B0"/>
    <w:rsid w:val="00BF618B"/>
    <w:rsid w:val="00C00BA1"/>
    <w:rsid w:val="00C02ADE"/>
    <w:rsid w:val="00C03085"/>
    <w:rsid w:val="00C06BC5"/>
    <w:rsid w:val="00C07692"/>
    <w:rsid w:val="00C11004"/>
    <w:rsid w:val="00C142DB"/>
    <w:rsid w:val="00C14992"/>
    <w:rsid w:val="00C14FB3"/>
    <w:rsid w:val="00C15226"/>
    <w:rsid w:val="00C2231D"/>
    <w:rsid w:val="00C2285D"/>
    <w:rsid w:val="00C22D9A"/>
    <w:rsid w:val="00C236D3"/>
    <w:rsid w:val="00C23FDA"/>
    <w:rsid w:val="00C24383"/>
    <w:rsid w:val="00C267D1"/>
    <w:rsid w:val="00C27DD1"/>
    <w:rsid w:val="00C30904"/>
    <w:rsid w:val="00C316BA"/>
    <w:rsid w:val="00C341E0"/>
    <w:rsid w:val="00C35983"/>
    <w:rsid w:val="00C3619D"/>
    <w:rsid w:val="00C413B5"/>
    <w:rsid w:val="00C41E26"/>
    <w:rsid w:val="00C42B66"/>
    <w:rsid w:val="00C43E86"/>
    <w:rsid w:val="00C43F7A"/>
    <w:rsid w:val="00C4651D"/>
    <w:rsid w:val="00C46BDD"/>
    <w:rsid w:val="00C5294E"/>
    <w:rsid w:val="00C5356F"/>
    <w:rsid w:val="00C54F17"/>
    <w:rsid w:val="00C615C2"/>
    <w:rsid w:val="00C616CE"/>
    <w:rsid w:val="00C62772"/>
    <w:rsid w:val="00C644C4"/>
    <w:rsid w:val="00C65237"/>
    <w:rsid w:val="00C71EC8"/>
    <w:rsid w:val="00C72CF1"/>
    <w:rsid w:val="00C72DE9"/>
    <w:rsid w:val="00C72FCE"/>
    <w:rsid w:val="00C756B6"/>
    <w:rsid w:val="00C7587D"/>
    <w:rsid w:val="00C75FED"/>
    <w:rsid w:val="00C76F93"/>
    <w:rsid w:val="00C773F5"/>
    <w:rsid w:val="00C77EC8"/>
    <w:rsid w:val="00C81882"/>
    <w:rsid w:val="00C81F06"/>
    <w:rsid w:val="00C83C60"/>
    <w:rsid w:val="00C83EA8"/>
    <w:rsid w:val="00C86055"/>
    <w:rsid w:val="00C91FA3"/>
    <w:rsid w:val="00C93400"/>
    <w:rsid w:val="00C93EB0"/>
    <w:rsid w:val="00C94096"/>
    <w:rsid w:val="00C9428C"/>
    <w:rsid w:val="00C94BC2"/>
    <w:rsid w:val="00C96163"/>
    <w:rsid w:val="00C97CA5"/>
    <w:rsid w:val="00CA01EC"/>
    <w:rsid w:val="00CA11AE"/>
    <w:rsid w:val="00CA2250"/>
    <w:rsid w:val="00CA370B"/>
    <w:rsid w:val="00CA586E"/>
    <w:rsid w:val="00CB1C05"/>
    <w:rsid w:val="00CB33DE"/>
    <w:rsid w:val="00CB3D41"/>
    <w:rsid w:val="00CB45F2"/>
    <w:rsid w:val="00CB5FC0"/>
    <w:rsid w:val="00CC0DC9"/>
    <w:rsid w:val="00CC1BAF"/>
    <w:rsid w:val="00CC1BDD"/>
    <w:rsid w:val="00CC29E7"/>
    <w:rsid w:val="00CC4CA3"/>
    <w:rsid w:val="00CC74A6"/>
    <w:rsid w:val="00CD20DA"/>
    <w:rsid w:val="00CD35B0"/>
    <w:rsid w:val="00CD3948"/>
    <w:rsid w:val="00CD7208"/>
    <w:rsid w:val="00CD7CB6"/>
    <w:rsid w:val="00CE07B5"/>
    <w:rsid w:val="00CE0C70"/>
    <w:rsid w:val="00CE17A8"/>
    <w:rsid w:val="00CE1B52"/>
    <w:rsid w:val="00CE7E3A"/>
    <w:rsid w:val="00CF3451"/>
    <w:rsid w:val="00CF4F81"/>
    <w:rsid w:val="00CF5053"/>
    <w:rsid w:val="00CF66F3"/>
    <w:rsid w:val="00CF6CE5"/>
    <w:rsid w:val="00CF6DFC"/>
    <w:rsid w:val="00CF7828"/>
    <w:rsid w:val="00D0045F"/>
    <w:rsid w:val="00D02B03"/>
    <w:rsid w:val="00D036A5"/>
    <w:rsid w:val="00D04627"/>
    <w:rsid w:val="00D1054A"/>
    <w:rsid w:val="00D10848"/>
    <w:rsid w:val="00D12683"/>
    <w:rsid w:val="00D126F7"/>
    <w:rsid w:val="00D12B8F"/>
    <w:rsid w:val="00D152AC"/>
    <w:rsid w:val="00D15F39"/>
    <w:rsid w:val="00D20D0A"/>
    <w:rsid w:val="00D21263"/>
    <w:rsid w:val="00D212C1"/>
    <w:rsid w:val="00D2152A"/>
    <w:rsid w:val="00D21D0D"/>
    <w:rsid w:val="00D27179"/>
    <w:rsid w:val="00D34F98"/>
    <w:rsid w:val="00D40524"/>
    <w:rsid w:val="00D44236"/>
    <w:rsid w:val="00D4565B"/>
    <w:rsid w:val="00D5272D"/>
    <w:rsid w:val="00D5433A"/>
    <w:rsid w:val="00D56031"/>
    <w:rsid w:val="00D56D6A"/>
    <w:rsid w:val="00D57936"/>
    <w:rsid w:val="00D610A1"/>
    <w:rsid w:val="00D63D99"/>
    <w:rsid w:val="00D65AF6"/>
    <w:rsid w:val="00D6699A"/>
    <w:rsid w:val="00D72892"/>
    <w:rsid w:val="00D7575E"/>
    <w:rsid w:val="00D75774"/>
    <w:rsid w:val="00D76F05"/>
    <w:rsid w:val="00D80404"/>
    <w:rsid w:val="00D81071"/>
    <w:rsid w:val="00D81BA9"/>
    <w:rsid w:val="00D8210C"/>
    <w:rsid w:val="00D86FE1"/>
    <w:rsid w:val="00D90EE1"/>
    <w:rsid w:val="00D92FB4"/>
    <w:rsid w:val="00D93144"/>
    <w:rsid w:val="00D94671"/>
    <w:rsid w:val="00D967E8"/>
    <w:rsid w:val="00D9790A"/>
    <w:rsid w:val="00DA022A"/>
    <w:rsid w:val="00DA0E1D"/>
    <w:rsid w:val="00DA4DB4"/>
    <w:rsid w:val="00DB010D"/>
    <w:rsid w:val="00DB17E5"/>
    <w:rsid w:val="00DB272D"/>
    <w:rsid w:val="00DB5A91"/>
    <w:rsid w:val="00DB775B"/>
    <w:rsid w:val="00DC01CB"/>
    <w:rsid w:val="00DC309F"/>
    <w:rsid w:val="00DC46F1"/>
    <w:rsid w:val="00DC4733"/>
    <w:rsid w:val="00DC513B"/>
    <w:rsid w:val="00DC5D16"/>
    <w:rsid w:val="00DC7CDB"/>
    <w:rsid w:val="00DC7D33"/>
    <w:rsid w:val="00DD1D2E"/>
    <w:rsid w:val="00DD2C55"/>
    <w:rsid w:val="00DD3158"/>
    <w:rsid w:val="00DD3455"/>
    <w:rsid w:val="00DD4E37"/>
    <w:rsid w:val="00DD6052"/>
    <w:rsid w:val="00DD6C0B"/>
    <w:rsid w:val="00DE08A9"/>
    <w:rsid w:val="00DE0957"/>
    <w:rsid w:val="00DE1442"/>
    <w:rsid w:val="00DE21F2"/>
    <w:rsid w:val="00DE2976"/>
    <w:rsid w:val="00DE4289"/>
    <w:rsid w:val="00DE547E"/>
    <w:rsid w:val="00DE6371"/>
    <w:rsid w:val="00DE6DD0"/>
    <w:rsid w:val="00DF0439"/>
    <w:rsid w:val="00DF0F30"/>
    <w:rsid w:val="00DF2E59"/>
    <w:rsid w:val="00DF4948"/>
    <w:rsid w:val="00DF6510"/>
    <w:rsid w:val="00DF6C13"/>
    <w:rsid w:val="00DF7EC1"/>
    <w:rsid w:val="00E00174"/>
    <w:rsid w:val="00E02CA1"/>
    <w:rsid w:val="00E045A1"/>
    <w:rsid w:val="00E04930"/>
    <w:rsid w:val="00E05864"/>
    <w:rsid w:val="00E10FAE"/>
    <w:rsid w:val="00E1112C"/>
    <w:rsid w:val="00E12A29"/>
    <w:rsid w:val="00E1571D"/>
    <w:rsid w:val="00E15782"/>
    <w:rsid w:val="00E17019"/>
    <w:rsid w:val="00E17319"/>
    <w:rsid w:val="00E2175E"/>
    <w:rsid w:val="00E21835"/>
    <w:rsid w:val="00E21998"/>
    <w:rsid w:val="00E21F55"/>
    <w:rsid w:val="00E2306F"/>
    <w:rsid w:val="00E23357"/>
    <w:rsid w:val="00E25130"/>
    <w:rsid w:val="00E2651C"/>
    <w:rsid w:val="00E316B1"/>
    <w:rsid w:val="00E32727"/>
    <w:rsid w:val="00E32A0B"/>
    <w:rsid w:val="00E32F2E"/>
    <w:rsid w:val="00E33ED8"/>
    <w:rsid w:val="00E36F47"/>
    <w:rsid w:val="00E412D3"/>
    <w:rsid w:val="00E4145C"/>
    <w:rsid w:val="00E41EFC"/>
    <w:rsid w:val="00E432EB"/>
    <w:rsid w:val="00E47EC2"/>
    <w:rsid w:val="00E504E1"/>
    <w:rsid w:val="00E5171B"/>
    <w:rsid w:val="00E526E4"/>
    <w:rsid w:val="00E532F3"/>
    <w:rsid w:val="00E539B4"/>
    <w:rsid w:val="00E54E4B"/>
    <w:rsid w:val="00E5623D"/>
    <w:rsid w:val="00E571B4"/>
    <w:rsid w:val="00E574A1"/>
    <w:rsid w:val="00E574DF"/>
    <w:rsid w:val="00E57532"/>
    <w:rsid w:val="00E5795E"/>
    <w:rsid w:val="00E62219"/>
    <w:rsid w:val="00E62801"/>
    <w:rsid w:val="00E6340E"/>
    <w:rsid w:val="00E6419F"/>
    <w:rsid w:val="00E65ADC"/>
    <w:rsid w:val="00E70EC1"/>
    <w:rsid w:val="00E7150A"/>
    <w:rsid w:val="00E72934"/>
    <w:rsid w:val="00E73C87"/>
    <w:rsid w:val="00E74C64"/>
    <w:rsid w:val="00E774C6"/>
    <w:rsid w:val="00E839C4"/>
    <w:rsid w:val="00E85257"/>
    <w:rsid w:val="00E8574F"/>
    <w:rsid w:val="00E8633D"/>
    <w:rsid w:val="00E90ADE"/>
    <w:rsid w:val="00E90C89"/>
    <w:rsid w:val="00E90E1B"/>
    <w:rsid w:val="00E92BB6"/>
    <w:rsid w:val="00E947AF"/>
    <w:rsid w:val="00E94A37"/>
    <w:rsid w:val="00EA25A4"/>
    <w:rsid w:val="00EA3D47"/>
    <w:rsid w:val="00EA66C7"/>
    <w:rsid w:val="00EA68EA"/>
    <w:rsid w:val="00EA695B"/>
    <w:rsid w:val="00EA7CD3"/>
    <w:rsid w:val="00EB0C13"/>
    <w:rsid w:val="00EB0DA4"/>
    <w:rsid w:val="00EB2023"/>
    <w:rsid w:val="00EB23C8"/>
    <w:rsid w:val="00EB2FA1"/>
    <w:rsid w:val="00EB4810"/>
    <w:rsid w:val="00EB4E1A"/>
    <w:rsid w:val="00EB6CB4"/>
    <w:rsid w:val="00EB760D"/>
    <w:rsid w:val="00EB7921"/>
    <w:rsid w:val="00EC01C0"/>
    <w:rsid w:val="00EC495D"/>
    <w:rsid w:val="00EC50EA"/>
    <w:rsid w:val="00EC7327"/>
    <w:rsid w:val="00EC7BA3"/>
    <w:rsid w:val="00EC7F77"/>
    <w:rsid w:val="00ED0622"/>
    <w:rsid w:val="00ED3100"/>
    <w:rsid w:val="00EE0529"/>
    <w:rsid w:val="00EE1BC2"/>
    <w:rsid w:val="00EE1EA0"/>
    <w:rsid w:val="00EE2147"/>
    <w:rsid w:val="00EE241D"/>
    <w:rsid w:val="00EE3435"/>
    <w:rsid w:val="00EE53F5"/>
    <w:rsid w:val="00EE7605"/>
    <w:rsid w:val="00EE775D"/>
    <w:rsid w:val="00EF108B"/>
    <w:rsid w:val="00EF178A"/>
    <w:rsid w:val="00EF1DB1"/>
    <w:rsid w:val="00EF1E85"/>
    <w:rsid w:val="00EF3464"/>
    <w:rsid w:val="00EF73CB"/>
    <w:rsid w:val="00F004C6"/>
    <w:rsid w:val="00F011A8"/>
    <w:rsid w:val="00F04EAA"/>
    <w:rsid w:val="00F104E7"/>
    <w:rsid w:val="00F12385"/>
    <w:rsid w:val="00F15565"/>
    <w:rsid w:val="00F158B1"/>
    <w:rsid w:val="00F16749"/>
    <w:rsid w:val="00F20BFF"/>
    <w:rsid w:val="00F22C22"/>
    <w:rsid w:val="00F2391D"/>
    <w:rsid w:val="00F26CD3"/>
    <w:rsid w:val="00F2715A"/>
    <w:rsid w:val="00F273BE"/>
    <w:rsid w:val="00F27EB5"/>
    <w:rsid w:val="00F321C8"/>
    <w:rsid w:val="00F32B4A"/>
    <w:rsid w:val="00F356AC"/>
    <w:rsid w:val="00F36610"/>
    <w:rsid w:val="00F4187E"/>
    <w:rsid w:val="00F41E9E"/>
    <w:rsid w:val="00F4287E"/>
    <w:rsid w:val="00F432CB"/>
    <w:rsid w:val="00F43DB9"/>
    <w:rsid w:val="00F4406F"/>
    <w:rsid w:val="00F4433F"/>
    <w:rsid w:val="00F45573"/>
    <w:rsid w:val="00F45C6B"/>
    <w:rsid w:val="00F46A1B"/>
    <w:rsid w:val="00F47953"/>
    <w:rsid w:val="00F53322"/>
    <w:rsid w:val="00F5618E"/>
    <w:rsid w:val="00F5667E"/>
    <w:rsid w:val="00F6089D"/>
    <w:rsid w:val="00F60D91"/>
    <w:rsid w:val="00F65C52"/>
    <w:rsid w:val="00F66F98"/>
    <w:rsid w:val="00F7301F"/>
    <w:rsid w:val="00F74C72"/>
    <w:rsid w:val="00F769B4"/>
    <w:rsid w:val="00F772A4"/>
    <w:rsid w:val="00F77FDB"/>
    <w:rsid w:val="00F813B8"/>
    <w:rsid w:val="00F82123"/>
    <w:rsid w:val="00F83273"/>
    <w:rsid w:val="00F84FBB"/>
    <w:rsid w:val="00F852BE"/>
    <w:rsid w:val="00F9077E"/>
    <w:rsid w:val="00F9227D"/>
    <w:rsid w:val="00F9242A"/>
    <w:rsid w:val="00F934B7"/>
    <w:rsid w:val="00F96918"/>
    <w:rsid w:val="00F9699B"/>
    <w:rsid w:val="00F96A5A"/>
    <w:rsid w:val="00F96E03"/>
    <w:rsid w:val="00FA10ED"/>
    <w:rsid w:val="00FA401D"/>
    <w:rsid w:val="00FA6514"/>
    <w:rsid w:val="00FA7BFE"/>
    <w:rsid w:val="00FA7C65"/>
    <w:rsid w:val="00FB1EB6"/>
    <w:rsid w:val="00FB311A"/>
    <w:rsid w:val="00FB489C"/>
    <w:rsid w:val="00FB4B19"/>
    <w:rsid w:val="00FC388F"/>
    <w:rsid w:val="00FC3C17"/>
    <w:rsid w:val="00FC4B1F"/>
    <w:rsid w:val="00FC6368"/>
    <w:rsid w:val="00FC7A54"/>
    <w:rsid w:val="00FD4117"/>
    <w:rsid w:val="00FD6A41"/>
    <w:rsid w:val="00FD6F64"/>
    <w:rsid w:val="00FE00BD"/>
    <w:rsid w:val="00FE1DF8"/>
    <w:rsid w:val="00FE33A8"/>
    <w:rsid w:val="00FE5D97"/>
    <w:rsid w:val="00FE6917"/>
    <w:rsid w:val="00FE6AC2"/>
    <w:rsid w:val="00FE6C09"/>
    <w:rsid w:val="00FE7482"/>
    <w:rsid w:val="00FF07E0"/>
    <w:rsid w:val="00FF209D"/>
    <w:rsid w:val="00FF2F39"/>
    <w:rsid w:val="00FF5913"/>
    <w:rsid w:val="00FF671C"/>
    <w:rsid w:val="00FF6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7348CD"/>
  <w15:chartTrackingRefBased/>
  <w15:docId w15:val="{DA75715B-6EBE-479E-8250-B089A5D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94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CF66F3"/>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CF66F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uiPriority w:val="99"/>
    <w:rsid w:val="00CF66F3"/>
    <w:rPr>
      <w:sz w:val="16"/>
      <w:szCs w:val="16"/>
    </w:rPr>
  </w:style>
  <w:style w:type="paragraph" w:styleId="Textocomentario">
    <w:name w:val="annotation text"/>
    <w:basedOn w:val="Normal"/>
    <w:link w:val="TextocomentarioCar"/>
    <w:uiPriority w:val="99"/>
    <w:rsid w:val="00CF66F3"/>
    <w:rPr>
      <w:sz w:val="20"/>
      <w:szCs w:val="20"/>
      <w:lang w:val="es-ES" w:eastAsia="es-ES"/>
    </w:rPr>
  </w:style>
  <w:style w:type="character" w:customStyle="1" w:styleId="TextocomentarioCar">
    <w:name w:val="Texto comentario Car"/>
    <w:basedOn w:val="Fuentedeprrafopredeter"/>
    <w:link w:val="Textocomentario"/>
    <w:uiPriority w:val="99"/>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basedOn w:val="Normal"/>
    <w:uiPriority w:val="34"/>
    <w:qFormat/>
    <w:rsid w:val="00CF66F3"/>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F66F3"/>
    <w:pPr>
      <w:spacing w:after="160" w:line="259" w:lineRule="auto"/>
    </w:pPr>
    <w:rPr>
      <w:rFonts w:eastAsiaTheme="minorHAnsi"/>
      <w:lang w:eastAsia="en-US"/>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1"/>
      </w:numPr>
    </w:pPr>
    <w:rPr>
      <w:lang w:val="es-ES"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rPr>
      <w:rFonts w:asciiTheme="minorHAnsi" w:eastAsiaTheme="minorHAnsi" w:hAnsiTheme="minorHAnsi" w:cstheme="minorBidi"/>
      <w:sz w:val="22"/>
      <w:szCs w:val="22"/>
      <w:lang w:eastAsia="en-US"/>
    </w:rPr>
  </w:style>
  <w:style w:type="character" w:customStyle="1" w:styleId="Sangra2detindependienteCar">
    <w:name w:val="Sangría 2 de t. independiente Car"/>
    <w:basedOn w:val="Fuentedeprrafopredeter"/>
    <w:link w:val="Sangra2detindependiente"/>
    <w:uiPriority w:val="99"/>
    <w:semiHidden/>
    <w:rsid w:val="00CF66F3"/>
  </w:style>
  <w:style w:type="paragraph" w:styleId="Textonotaalfinal">
    <w:name w:val="endnote text"/>
    <w:basedOn w:val="Normal"/>
    <w:link w:val="TextonotaalfinalCar"/>
    <w:uiPriority w:val="99"/>
    <w:semiHidden/>
    <w:unhideWhenUsed/>
    <w:rsid w:val="00C2285D"/>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C2285D"/>
    <w:rPr>
      <w:sz w:val="20"/>
      <w:szCs w:val="20"/>
    </w:rPr>
  </w:style>
  <w:style w:type="character" w:styleId="Refdenotaalfinal">
    <w:name w:val="endnote reference"/>
    <w:basedOn w:val="Fuentedeprrafopredeter"/>
    <w:uiPriority w:val="99"/>
    <w:semiHidden/>
    <w:unhideWhenUsed/>
    <w:rsid w:val="00C2285D"/>
    <w:rPr>
      <w:vertAlign w:val="superscript"/>
    </w:rPr>
  </w:style>
  <w:style w:type="paragraph" w:styleId="Sinespaciado">
    <w:name w:val="No Spacing"/>
    <w:uiPriority w:val="1"/>
    <w:qFormat/>
    <w:rsid w:val="00AD79BA"/>
    <w:pPr>
      <w:spacing w:after="0" w:line="240" w:lineRule="auto"/>
    </w:pPr>
  </w:style>
  <w:style w:type="paragraph" w:styleId="Ttulo">
    <w:name w:val="Title"/>
    <w:basedOn w:val="Normal"/>
    <w:next w:val="Normal"/>
    <w:link w:val="TtuloCar"/>
    <w:uiPriority w:val="10"/>
    <w:qFormat/>
    <w:rsid w:val="00AD79BA"/>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AD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79BA"/>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AD79BA"/>
    <w:rPr>
      <w:rFonts w:eastAsiaTheme="minorEastAsia"/>
      <w:color w:val="5A5A5A" w:themeColor="text1" w:themeTint="A5"/>
      <w:spacing w:val="15"/>
    </w:rPr>
  </w:style>
  <w:style w:type="character" w:styleId="Refdenotaalpie">
    <w:name w:val="footnote reference"/>
    <w:basedOn w:val="Fuentedeprrafopredeter"/>
    <w:uiPriority w:val="99"/>
    <w:semiHidden/>
    <w:unhideWhenUsed/>
    <w:rsid w:val="00AD79BA"/>
    <w:rPr>
      <w:vertAlign w:val="superscript"/>
    </w:rPr>
  </w:style>
  <w:style w:type="paragraph" w:styleId="Revisin">
    <w:name w:val="Revision"/>
    <w:hidden/>
    <w:uiPriority w:val="99"/>
    <w:semiHidden/>
    <w:rsid w:val="00DC7D33"/>
    <w:pPr>
      <w:spacing w:after="0" w:line="240" w:lineRule="auto"/>
    </w:pPr>
  </w:style>
  <w:style w:type="character" w:customStyle="1" w:styleId="Mencinsinresolver1">
    <w:name w:val="Mención sin resolver1"/>
    <w:basedOn w:val="Fuentedeprrafopredeter"/>
    <w:uiPriority w:val="99"/>
    <w:semiHidden/>
    <w:unhideWhenUsed/>
    <w:rsid w:val="00E70EC1"/>
    <w:rPr>
      <w:color w:val="605E5C"/>
      <w:shd w:val="clear" w:color="auto" w:fill="E1DFDD"/>
    </w:rPr>
  </w:style>
  <w:style w:type="character" w:customStyle="1" w:styleId="baj">
    <w:name w:val="b_aj"/>
    <w:basedOn w:val="Fuentedeprrafopredeter"/>
    <w:rsid w:val="002D0C55"/>
  </w:style>
  <w:style w:type="character" w:styleId="Textoennegrita">
    <w:name w:val="Strong"/>
    <w:basedOn w:val="Fuentedeprrafopredeter"/>
    <w:uiPriority w:val="22"/>
    <w:qFormat/>
    <w:rsid w:val="00B018FA"/>
    <w:rPr>
      <w:b/>
      <w:bCs/>
    </w:rPr>
  </w:style>
  <w:style w:type="paragraph" w:customStyle="1" w:styleId="Default">
    <w:name w:val="Default"/>
    <w:rsid w:val="00EE1BC2"/>
    <w:pPr>
      <w:autoSpaceDE w:val="0"/>
      <w:autoSpaceDN w:val="0"/>
      <w:adjustRightInd w:val="0"/>
      <w:spacing w:after="0" w:line="240" w:lineRule="auto"/>
    </w:pPr>
    <w:rPr>
      <w:rFonts w:ascii="Arial" w:hAnsi="Arial" w:cs="Arial"/>
      <w:color w:val="000000"/>
      <w:sz w:val="24"/>
      <w:szCs w:val="24"/>
    </w:rPr>
  </w:style>
  <w:style w:type="paragraph" w:customStyle="1" w:styleId="CUERPOTEXTO">
    <w:name w:val="CUERPO TEXTO"/>
    <w:uiPriority w:val="99"/>
    <w:rsid w:val="00BC4A8A"/>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CENTRAR">
    <w:name w:val="CENTRAR"/>
    <w:uiPriority w:val="99"/>
    <w:rsid w:val="00BC4A8A"/>
    <w:pPr>
      <w:widowControl w:val="0"/>
      <w:autoSpaceDE w:val="0"/>
      <w:autoSpaceDN w:val="0"/>
      <w:adjustRightInd w:val="0"/>
      <w:spacing w:before="28" w:after="28" w:line="210" w:lineRule="atLeast"/>
      <w:jc w:val="center"/>
    </w:pPr>
    <w:rPr>
      <w:rFonts w:ascii="Times New Roman" w:eastAsia="Times New Roman" w:hAnsi="Times New Roman" w:cs="Times New Roman"/>
      <w:color w:val="000000"/>
      <w:sz w:val="19"/>
      <w:szCs w:val="19"/>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5214">
      <w:bodyDiv w:val="1"/>
      <w:marLeft w:val="0"/>
      <w:marRight w:val="0"/>
      <w:marTop w:val="0"/>
      <w:marBottom w:val="0"/>
      <w:divBdr>
        <w:top w:val="none" w:sz="0" w:space="0" w:color="auto"/>
        <w:left w:val="none" w:sz="0" w:space="0" w:color="auto"/>
        <w:bottom w:val="none" w:sz="0" w:space="0" w:color="auto"/>
        <w:right w:val="none" w:sz="0" w:space="0" w:color="auto"/>
      </w:divBdr>
    </w:div>
    <w:div w:id="80493656">
      <w:bodyDiv w:val="1"/>
      <w:marLeft w:val="0"/>
      <w:marRight w:val="0"/>
      <w:marTop w:val="0"/>
      <w:marBottom w:val="0"/>
      <w:divBdr>
        <w:top w:val="none" w:sz="0" w:space="0" w:color="auto"/>
        <w:left w:val="none" w:sz="0" w:space="0" w:color="auto"/>
        <w:bottom w:val="none" w:sz="0" w:space="0" w:color="auto"/>
        <w:right w:val="none" w:sz="0" w:space="0" w:color="auto"/>
      </w:divBdr>
    </w:div>
    <w:div w:id="126748411">
      <w:bodyDiv w:val="1"/>
      <w:marLeft w:val="0"/>
      <w:marRight w:val="0"/>
      <w:marTop w:val="0"/>
      <w:marBottom w:val="0"/>
      <w:divBdr>
        <w:top w:val="none" w:sz="0" w:space="0" w:color="auto"/>
        <w:left w:val="none" w:sz="0" w:space="0" w:color="auto"/>
        <w:bottom w:val="none" w:sz="0" w:space="0" w:color="auto"/>
        <w:right w:val="none" w:sz="0" w:space="0" w:color="auto"/>
      </w:divBdr>
    </w:div>
    <w:div w:id="272595452">
      <w:bodyDiv w:val="1"/>
      <w:marLeft w:val="0"/>
      <w:marRight w:val="0"/>
      <w:marTop w:val="0"/>
      <w:marBottom w:val="0"/>
      <w:divBdr>
        <w:top w:val="none" w:sz="0" w:space="0" w:color="auto"/>
        <w:left w:val="none" w:sz="0" w:space="0" w:color="auto"/>
        <w:bottom w:val="none" w:sz="0" w:space="0" w:color="auto"/>
        <w:right w:val="none" w:sz="0" w:space="0" w:color="auto"/>
      </w:divBdr>
    </w:div>
    <w:div w:id="535703084">
      <w:bodyDiv w:val="1"/>
      <w:marLeft w:val="0"/>
      <w:marRight w:val="0"/>
      <w:marTop w:val="0"/>
      <w:marBottom w:val="0"/>
      <w:divBdr>
        <w:top w:val="none" w:sz="0" w:space="0" w:color="auto"/>
        <w:left w:val="none" w:sz="0" w:space="0" w:color="auto"/>
        <w:bottom w:val="none" w:sz="0" w:space="0" w:color="auto"/>
        <w:right w:val="none" w:sz="0" w:space="0" w:color="auto"/>
      </w:divBdr>
    </w:div>
    <w:div w:id="589198901">
      <w:bodyDiv w:val="1"/>
      <w:marLeft w:val="0"/>
      <w:marRight w:val="0"/>
      <w:marTop w:val="0"/>
      <w:marBottom w:val="0"/>
      <w:divBdr>
        <w:top w:val="none" w:sz="0" w:space="0" w:color="auto"/>
        <w:left w:val="none" w:sz="0" w:space="0" w:color="auto"/>
        <w:bottom w:val="none" w:sz="0" w:space="0" w:color="auto"/>
        <w:right w:val="none" w:sz="0" w:space="0" w:color="auto"/>
      </w:divBdr>
    </w:div>
    <w:div w:id="695086532">
      <w:bodyDiv w:val="1"/>
      <w:marLeft w:val="0"/>
      <w:marRight w:val="0"/>
      <w:marTop w:val="0"/>
      <w:marBottom w:val="0"/>
      <w:divBdr>
        <w:top w:val="none" w:sz="0" w:space="0" w:color="auto"/>
        <w:left w:val="none" w:sz="0" w:space="0" w:color="auto"/>
        <w:bottom w:val="none" w:sz="0" w:space="0" w:color="auto"/>
        <w:right w:val="none" w:sz="0" w:space="0" w:color="auto"/>
      </w:divBdr>
    </w:div>
    <w:div w:id="713388795">
      <w:bodyDiv w:val="1"/>
      <w:marLeft w:val="0"/>
      <w:marRight w:val="0"/>
      <w:marTop w:val="0"/>
      <w:marBottom w:val="0"/>
      <w:divBdr>
        <w:top w:val="none" w:sz="0" w:space="0" w:color="auto"/>
        <w:left w:val="none" w:sz="0" w:space="0" w:color="auto"/>
        <w:bottom w:val="none" w:sz="0" w:space="0" w:color="auto"/>
        <w:right w:val="none" w:sz="0" w:space="0" w:color="auto"/>
      </w:divBdr>
    </w:div>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792135771">
      <w:bodyDiv w:val="1"/>
      <w:marLeft w:val="0"/>
      <w:marRight w:val="0"/>
      <w:marTop w:val="0"/>
      <w:marBottom w:val="0"/>
      <w:divBdr>
        <w:top w:val="none" w:sz="0" w:space="0" w:color="auto"/>
        <w:left w:val="none" w:sz="0" w:space="0" w:color="auto"/>
        <w:bottom w:val="none" w:sz="0" w:space="0" w:color="auto"/>
        <w:right w:val="none" w:sz="0" w:space="0" w:color="auto"/>
      </w:divBdr>
    </w:div>
    <w:div w:id="828137054">
      <w:bodyDiv w:val="1"/>
      <w:marLeft w:val="0"/>
      <w:marRight w:val="0"/>
      <w:marTop w:val="0"/>
      <w:marBottom w:val="0"/>
      <w:divBdr>
        <w:top w:val="none" w:sz="0" w:space="0" w:color="auto"/>
        <w:left w:val="none" w:sz="0" w:space="0" w:color="auto"/>
        <w:bottom w:val="none" w:sz="0" w:space="0" w:color="auto"/>
        <w:right w:val="none" w:sz="0" w:space="0" w:color="auto"/>
      </w:divBdr>
    </w:div>
    <w:div w:id="871113431">
      <w:bodyDiv w:val="1"/>
      <w:marLeft w:val="0"/>
      <w:marRight w:val="0"/>
      <w:marTop w:val="0"/>
      <w:marBottom w:val="0"/>
      <w:divBdr>
        <w:top w:val="none" w:sz="0" w:space="0" w:color="auto"/>
        <w:left w:val="none" w:sz="0" w:space="0" w:color="auto"/>
        <w:bottom w:val="none" w:sz="0" w:space="0" w:color="auto"/>
        <w:right w:val="none" w:sz="0" w:space="0" w:color="auto"/>
      </w:divBdr>
    </w:div>
    <w:div w:id="1057585992">
      <w:bodyDiv w:val="1"/>
      <w:marLeft w:val="0"/>
      <w:marRight w:val="0"/>
      <w:marTop w:val="0"/>
      <w:marBottom w:val="0"/>
      <w:divBdr>
        <w:top w:val="none" w:sz="0" w:space="0" w:color="auto"/>
        <w:left w:val="none" w:sz="0" w:space="0" w:color="auto"/>
        <w:bottom w:val="none" w:sz="0" w:space="0" w:color="auto"/>
        <w:right w:val="none" w:sz="0" w:space="0" w:color="auto"/>
      </w:divBdr>
    </w:div>
    <w:div w:id="1162701932">
      <w:bodyDiv w:val="1"/>
      <w:marLeft w:val="0"/>
      <w:marRight w:val="0"/>
      <w:marTop w:val="0"/>
      <w:marBottom w:val="0"/>
      <w:divBdr>
        <w:top w:val="none" w:sz="0" w:space="0" w:color="auto"/>
        <w:left w:val="none" w:sz="0" w:space="0" w:color="auto"/>
        <w:bottom w:val="none" w:sz="0" w:space="0" w:color="auto"/>
        <w:right w:val="none" w:sz="0" w:space="0" w:color="auto"/>
      </w:divBdr>
    </w:div>
    <w:div w:id="1300648170">
      <w:bodyDiv w:val="1"/>
      <w:marLeft w:val="0"/>
      <w:marRight w:val="0"/>
      <w:marTop w:val="0"/>
      <w:marBottom w:val="0"/>
      <w:divBdr>
        <w:top w:val="none" w:sz="0" w:space="0" w:color="auto"/>
        <w:left w:val="none" w:sz="0" w:space="0" w:color="auto"/>
        <w:bottom w:val="none" w:sz="0" w:space="0" w:color="auto"/>
        <w:right w:val="none" w:sz="0" w:space="0" w:color="auto"/>
      </w:divBdr>
    </w:div>
    <w:div w:id="1525898238">
      <w:bodyDiv w:val="1"/>
      <w:marLeft w:val="0"/>
      <w:marRight w:val="0"/>
      <w:marTop w:val="0"/>
      <w:marBottom w:val="0"/>
      <w:divBdr>
        <w:top w:val="none" w:sz="0" w:space="0" w:color="auto"/>
        <w:left w:val="none" w:sz="0" w:space="0" w:color="auto"/>
        <w:bottom w:val="none" w:sz="0" w:space="0" w:color="auto"/>
        <w:right w:val="none" w:sz="0" w:space="0" w:color="auto"/>
      </w:divBdr>
    </w:div>
    <w:div w:id="1565723193">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 w:id="1761101867">
      <w:bodyDiv w:val="1"/>
      <w:marLeft w:val="0"/>
      <w:marRight w:val="0"/>
      <w:marTop w:val="0"/>
      <w:marBottom w:val="0"/>
      <w:divBdr>
        <w:top w:val="none" w:sz="0" w:space="0" w:color="auto"/>
        <w:left w:val="none" w:sz="0" w:space="0" w:color="auto"/>
        <w:bottom w:val="none" w:sz="0" w:space="0" w:color="auto"/>
        <w:right w:val="none" w:sz="0" w:space="0" w:color="auto"/>
      </w:divBdr>
    </w:div>
    <w:div w:id="1777019094">
      <w:bodyDiv w:val="1"/>
      <w:marLeft w:val="0"/>
      <w:marRight w:val="0"/>
      <w:marTop w:val="0"/>
      <w:marBottom w:val="0"/>
      <w:divBdr>
        <w:top w:val="none" w:sz="0" w:space="0" w:color="auto"/>
        <w:left w:val="none" w:sz="0" w:space="0" w:color="auto"/>
        <w:bottom w:val="none" w:sz="0" w:space="0" w:color="auto"/>
        <w:right w:val="none" w:sz="0" w:space="0" w:color="auto"/>
      </w:divBdr>
    </w:div>
    <w:div w:id="1900553863">
      <w:bodyDiv w:val="1"/>
      <w:marLeft w:val="0"/>
      <w:marRight w:val="0"/>
      <w:marTop w:val="0"/>
      <w:marBottom w:val="0"/>
      <w:divBdr>
        <w:top w:val="none" w:sz="0" w:space="0" w:color="auto"/>
        <w:left w:val="none" w:sz="0" w:space="0" w:color="auto"/>
        <w:bottom w:val="none" w:sz="0" w:space="0" w:color="auto"/>
        <w:right w:val="none" w:sz="0" w:space="0" w:color="auto"/>
      </w:divBdr>
    </w:div>
    <w:div w:id="1978946778">
      <w:bodyDiv w:val="1"/>
      <w:marLeft w:val="0"/>
      <w:marRight w:val="0"/>
      <w:marTop w:val="0"/>
      <w:marBottom w:val="0"/>
      <w:divBdr>
        <w:top w:val="none" w:sz="0" w:space="0" w:color="auto"/>
        <w:left w:val="none" w:sz="0" w:space="0" w:color="auto"/>
        <w:bottom w:val="none" w:sz="0" w:space="0" w:color="auto"/>
        <w:right w:val="none" w:sz="0" w:space="0" w:color="auto"/>
      </w:divBdr>
    </w:div>
    <w:div w:id="2029596590">
      <w:bodyDiv w:val="1"/>
      <w:marLeft w:val="0"/>
      <w:marRight w:val="0"/>
      <w:marTop w:val="0"/>
      <w:marBottom w:val="0"/>
      <w:divBdr>
        <w:top w:val="none" w:sz="0" w:space="0" w:color="auto"/>
        <w:left w:val="none" w:sz="0" w:space="0" w:color="auto"/>
        <w:bottom w:val="none" w:sz="0" w:space="0" w:color="auto"/>
        <w:right w:val="none" w:sz="0" w:space="0" w:color="auto"/>
      </w:divBdr>
    </w:div>
    <w:div w:id="2135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H7EN5MXTHQNV-429570507-34</_dlc_DocId>
    <_dlc_DocIdUrl xmlns="ae9388c0-b1e2-40ea-b6a8-c51c7913cbd2">
      <Url>https://mng.mincultura.gov.co/ministerio/transparencia-y-acceso-a-informacion-publica/publicidad%20de%20proyectos%20de%20especificos%20de%20regulacion/_layouts/15/DocIdRedir.aspx?ID=H7EN5MXTHQNV-429570507-34</Url>
      <Description>H7EN5MXTHQNV-429570507-34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B4DD4-9C4E-4B76-85F8-6D81A3C60496}"/>
</file>

<file path=customXml/itemProps2.xml><?xml version="1.0" encoding="utf-8"?>
<ds:datastoreItem xmlns:ds="http://schemas.openxmlformats.org/officeDocument/2006/customXml" ds:itemID="{CEFB9B61-B894-4A08-96D3-CB22C70ACB06}"/>
</file>

<file path=customXml/itemProps3.xml><?xml version="1.0" encoding="utf-8"?>
<ds:datastoreItem xmlns:ds="http://schemas.openxmlformats.org/officeDocument/2006/customXml" ds:itemID="{289091E6-3E57-4992-B6A5-829A83B4C5D2}"/>
</file>

<file path=customXml/itemProps4.xml><?xml version="1.0" encoding="utf-8"?>
<ds:datastoreItem xmlns:ds="http://schemas.openxmlformats.org/officeDocument/2006/customXml" ds:itemID="{EAB7144B-7F07-40E6-8DCE-2342456D6AD4}"/>
</file>

<file path=customXml/itemProps5.xml><?xml version="1.0" encoding="utf-8"?>
<ds:datastoreItem xmlns:ds="http://schemas.openxmlformats.org/officeDocument/2006/customXml" ds:itemID="{2C6E64F6-9601-4955-9BC0-D535E4BABCCC}"/>
</file>

<file path=docProps/app.xml><?xml version="1.0" encoding="utf-8"?>
<Properties xmlns="http://schemas.openxmlformats.org/officeDocument/2006/extended-properties" xmlns:vt="http://schemas.openxmlformats.org/officeDocument/2006/docPropsVTypes">
  <Template>Normal</Template>
  <TotalTime>1</TotalTime>
  <Pages>7</Pages>
  <Words>3774</Words>
  <Characters>20758</Characters>
  <Application>Microsoft Office Word</Application>
  <DocSecurity>4</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Juan Manuel Andrade Morantes</cp:lastModifiedBy>
  <cp:revision>2</cp:revision>
  <cp:lastPrinted>2019-11-12T18:25:00Z</cp:lastPrinted>
  <dcterms:created xsi:type="dcterms:W3CDTF">2021-03-31T20:40:00Z</dcterms:created>
  <dcterms:modified xsi:type="dcterms:W3CDTF">2021-03-31T20:40:00Z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7f67c91c-b8f8-4323-9f08-c9e536c395b1</vt:lpwstr>
  </property>
</Properties>
</file>