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74"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4"/>
        <w:gridCol w:w="4221"/>
        <w:gridCol w:w="3119"/>
      </w:tblGrid>
      <w:tr w:rsidR="005C4522" w:rsidRPr="009F7CED" w14:paraId="5E7A7DCE" w14:textId="77777777" w:rsidTr="00696582">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42B5DB00" w14:textId="77777777" w:rsidR="0026513E" w:rsidRPr="00D965B1" w:rsidRDefault="00795C6B" w:rsidP="002264B8">
            <w:pPr>
              <w:pStyle w:val="Ttulo2"/>
              <w:ind w:right="72"/>
              <w:jc w:val="left"/>
              <w:rPr>
                <w:rFonts w:cs="Arial"/>
                <w:bCs/>
                <w:color w:val="FFFFFF"/>
                <w:sz w:val="22"/>
                <w:szCs w:val="22"/>
              </w:rPr>
            </w:pPr>
            <w:r w:rsidRPr="00D965B1">
              <w:rPr>
                <w:rFonts w:cs="Arial"/>
                <w:color w:val="FFFFFF"/>
                <w:sz w:val="22"/>
                <w:szCs w:val="22"/>
                <w:lang w:val="es-CO"/>
              </w:rPr>
              <w:t>Entidad</w:t>
            </w:r>
            <w:r w:rsidR="00086B16" w:rsidRPr="00D965B1">
              <w:rPr>
                <w:rFonts w:cs="Arial"/>
                <w:color w:val="FFFFFF"/>
                <w:sz w:val="22"/>
                <w:szCs w:val="22"/>
                <w:lang w:val="es-CO"/>
              </w:rPr>
              <w:t xml:space="preserve"> </w:t>
            </w:r>
            <w:r w:rsidRPr="00D965B1">
              <w:rPr>
                <w:rFonts w:cs="Arial"/>
                <w:color w:val="FFFFFF"/>
                <w:sz w:val="22"/>
                <w:szCs w:val="22"/>
                <w:lang w:val="es-CO"/>
              </w:rPr>
              <w:t>originadora</w:t>
            </w:r>
            <w:r w:rsidR="00293F29" w:rsidRPr="00D965B1">
              <w:rPr>
                <w:rFonts w:cs="Arial"/>
                <w:color w:val="FFFFFF"/>
                <w:sz w:val="22"/>
                <w:szCs w:val="22"/>
                <w:lang w:val="es-CO"/>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559F61DF" w14:textId="77777777" w:rsidR="0026513E" w:rsidRPr="00BF41BE" w:rsidRDefault="00BF41BE" w:rsidP="00BF41BE">
            <w:pPr>
              <w:pStyle w:val="Ttulo2"/>
              <w:ind w:left="72" w:right="72"/>
              <w:jc w:val="left"/>
              <w:rPr>
                <w:rFonts w:cs="Arial"/>
                <w:b w:val="0"/>
                <w:sz w:val="22"/>
                <w:szCs w:val="22"/>
              </w:rPr>
            </w:pPr>
            <w:r w:rsidRPr="00BF41BE">
              <w:rPr>
                <w:rFonts w:cs="Arial"/>
                <w:b w:val="0"/>
                <w:sz w:val="22"/>
                <w:szCs w:val="22"/>
              </w:rPr>
              <w:t>Ministerio de Cultura</w:t>
            </w:r>
          </w:p>
        </w:tc>
      </w:tr>
      <w:tr w:rsidR="005C4522" w:rsidRPr="009F7CED" w14:paraId="709929E8" w14:textId="77777777" w:rsidTr="00696582">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1C3920DA" w14:textId="77777777" w:rsidR="00C47F73" w:rsidRPr="00D965B1" w:rsidRDefault="0026513E" w:rsidP="002264B8">
            <w:pPr>
              <w:pStyle w:val="Ttulo2"/>
              <w:ind w:right="72"/>
              <w:jc w:val="left"/>
              <w:rPr>
                <w:rFonts w:cs="Arial"/>
                <w:bCs/>
                <w:color w:val="FFFFFF"/>
                <w:sz w:val="22"/>
                <w:szCs w:val="22"/>
              </w:rPr>
            </w:pPr>
            <w:r w:rsidRPr="00D965B1">
              <w:rPr>
                <w:rFonts w:cs="Arial"/>
                <w:bCs/>
                <w:color w:val="FFFFFF"/>
                <w:sz w:val="22"/>
                <w:szCs w:val="22"/>
              </w:rPr>
              <w:t>Fecha</w:t>
            </w:r>
            <w:r w:rsidR="00BB545F" w:rsidRPr="00D965B1">
              <w:rPr>
                <w:rFonts w:cs="Arial"/>
                <w:bCs/>
                <w:color w:val="FFFFFF"/>
                <w:sz w:val="22"/>
                <w:szCs w:val="22"/>
              </w:rPr>
              <w:t xml:space="preserve"> (</w:t>
            </w:r>
            <w:proofErr w:type="spellStart"/>
            <w:r w:rsidR="00BB545F" w:rsidRPr="00D965B1">
              <w:rPr>
                <w:rFonts w:cs="Arial"/>
                <w:bCs/>
                <w:color w:val="FFFFFF"/>
                <w:sz w:val="22"/>
                <w:szCs w:val="22"/>
              </w:rPr>
              <w:t>dd</w:t>
            </w:r>
            <w:proofErr w:type="spellEnd"/>
            <w:r w:rsidR="00BB545F" w:rsidRPr="00D965B1">
              <w:rPr>
                <w:rFonts w:cs="Arial"/>
                <w:bCs/>
                <w:color w:val="FFFFFF"/>
                <w:sz w:val="22"/>
                <w:szCs w:val="22"/>
              </w:rPr>
              <w:t>/mm/</w:t>
            </w:r>
            <w:proofErr w:type="spellStart"/>
            <w:r w:rsidR="00BB545F" w:rsidRPr="00D965B1">
              <w:rPr>
                <w:rFonts w:cs="Arial"/>
                <w:bCs/>
                <w:color w:val="FFFFFF"/>
                <w:sz w:val="22"/>
                <w:szCs w:val="22"/>
              </w:rPr>
              <w:t>aa</w:t>
            </w:r>
            <w:proofErr w:type="spellEnd"/>
            <w:r w:rsidR="00BB545F" w:rsidRPr="00D965B1">
              <w:rPr>
                <w:rFonts w:cs="Arial"/>
                <w:bCs/>
                <w:color w:val="FFFFFF"/>
                <w:sz w:val="22"/>
                <w:szCs w:val="22"/>
              </w:rPr>
              <w:t>)</w:t>
            </w:r>
            <w:r w:rsidR="00293F29" w:rsidRPr="00D965B1">
              <w:rPr>
                <w:rFonts w:cs="Arial"/>
                <w:bCs/>
                <w:color w:val="FFFFFF"/>
                <w:sz w:val="22"/>
                <w:szCs w:val="22"/>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56AE1CF1" w14:textId="77777777" w:rsidR="00C47F73" w:rsidRPr="00C53974" w:rsidRDefault="00E65EFC" w:rsidP="007A45C3">
            <w:pPr>
              <w:pStyle w:val="Ttulo2"/>
              <w:ind w:left="72" w:right="72"/>
              <w:jc w:val="both"/>
              <w:rPr>
                <w:rFonts w:cs="Arial"/>
                <w:b w:val="0"/>
                <w:i/>
                <w:color w:val="FF0000"/>
                <w:sz w:val="22"/>
                <w:szCs w:val="22"/>
              </w:rPr>
            </w:pPr>
            <w:r>
              <w:rPr>
                <w:rFonts w:cs="Arial"/>
                <w:b w:val="0"/>
                <w:iCs/>
                <w:sz w:val="22"/>
                <w:szCs w:val="22"/>
              </w:rPr>
              <w:t>19</w:t>
            </w:r>
            <w:r w:rsidR="00AE2FC6">
              <w:rPr>
                <w:rFonts w:cs="Arial"/>
                <w:b w:val="0"/>
                <w:iCs/>
                <w:sz w:val="22"/>
                <w:szCs w:val="22"/>
              </w:rPr>
              <w:t xml:space="preserve"> de marzo de 2021</w:t>
            </w:r>
            <w:r w:rsidR="00C53974">
              <w:rPr>
                <w:rFonts w:cs="Arial"/>
                <w:b w:val="0"/>
                <w:i/>
                <w:color w:val="FF0000"/>
                <w:sz w:val="22"/>
                <w:szCs w:val="22"/>
              </w:rPr>
              <w:t xml:space="preserve"> </w:t>
            </w:r>
          </w:p>
        </w:tc>
      </w:tr>
      <w:tr w:rsidR="005C4522" w:rsidRPr="009F7CED" w14:paraId="58070A55" w14:textId="77777777" w:rsidTr="00696582">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3EE999C0" w14:textId="77777777" w:rsidR="0059316B" w:rsidRPr="00D965B1" w:rsidRDefault="00A55DB6" w:rsidP="002264B8">
            <w:pPr>
              <w:pStyle w:val="Ttulo2"/>
              <w:ind w:right="72"/>
              <w:jc w:val="left"/>
              <w:rPr>
                <w:rFonts w:cs="Arial"/>
                <w:bCs/>
                <w:color w:val="FFFFFF"/>
                <w:sz w:val="22"/>
                <w:szCs w:val="22"/>
              </w:rPr>
            </w:pPr>
            <w:r w:rsidRPr="00D965B1">
              <w:rPr>
                <w:rFonts w:cs="Arial"/>
                <w:bCs/>
                <w:color w:val="FFFFFF"/>
                <w:sz w:val="22"/>
                <w:szCs w:val="22"/>
              </w:rPr>
              <w:t xml:space="preserve">Proyecto de </w:t>
            </w:r>
            <w:r w:rsidR="00587695" w:rsidRPr="00D965B1">
              <w:rPr>
                <w:rFonts w:cs="Arial"/>
                <w:bCs/>
                <w:color w:val="FFFFFF"/>
                <w:sz w:val="22"/>
                <w:szCs w:val="22"/>
              </w:rPr>
              <w:t>D</w:t>
            </w:r>
            <w:r w:rsidRPr="00D965B1">
              <w:rPr>
                <w:rFonts w:cs="Arial"/>
                <w:bCs/>
                <w:color w:val="FFFFFF"/>
                <w:sz w:val="22"/>
                <w:szCs w:val="22"/>
              </w:rPr>
              <w:t>ecreto</w:t>
            </w:r>
            <w:r w:rsidR="00795C6B" w:rsidRPr="00D965B1">
              <w:rPr>
                <w:rFonts w:cs="Arial"/>
                <w:bCs/>
                <w:color w:val="FFFFFF"/>
                <w:sz w:val="22"/>
                <w:szCs w:val="22"/>
              </w:rPr>
              <w:t>/Resolución</w:t>
            </w:r>
            <w:r w:rsidR="00293F29" w:rsidRPr="00D965B1">
              <w:rPr>
                <w:rFonts w:cs="Arial"/>
                <w:bCs/>
                <w:color w:val="FFFFFF"/>
                <w:sz w:val="22"/>
                <w:szCs w:val="22"/>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22BC26F4" w14:textId="77777777" w:rsidR="00BF41BE" w:rsidRPr="00BF41BE" w:rsidRDefault="00BF41BE" w:rsidP="00BF41BE">
            <w:pPr>
              <w:pStyle w:val="Ttulo2"/>
              <w:ind w:left="72" w:right="72"/>
              <w:jc w:val="both"/>
              <w:rPr>
                <w:rFonts w:cs="Arial"/>
                <w:b w:val="0"/>
                <w:sz w:val="22"/>
                <w:szCs w:val="22"/>
              </w:rPr>
            </w:pPr>
            <w:r w:rsidRPr="00BF41BE">
              <w:rPr>
                <w:rFonts w:cs="Arial"/>
                <w:b w:val="0"/>
                <w:sz w:val="22"/>
                <w:szCs w:val="22"/>
              </w:rPr>
              <w:t>Por el cual se reglamenta parcialmente la Ley 2070 de 2020</w:t>
            </w:r>
          </w:p>
          <w:p w14:paraId="272F2E11" w14:textId="77777777" w:rsidR="001F238A" w:rsidRPr="009F7CED" w:rsidRDefault="001F238A" w:rsidP="005F30C3">
            <w:pPr>
              <w:pStyle w:val="Ttulo2"/>
              <w:ind w:left="72" w:right="72"/>
              <w:jc w:val="left"/>
              <w:rPr>
                <w:rFonts w:cs="Arial"/>
                <w:spacing w:val="-3"/>
                <w:sz w:val="22"/>
                <w:szCs w:val="22"/>
              </w:rPr>
            </w:pPr>
          </w:p>
        </w:tc>
      </w:tr>
      <w:tr w:rsidR="00DF60FD" w:rsidRPr="009F7CED" w14:paraId="544A37BC" w14:textId="77777777" w:rsidTr="0075705D">
        <w:trPr>
          <w:trHeight w:val="674"/>
        </w:trPr>
        <w:tc>
          <w:tcPr>
            <w:tcW w:w="10774" w:type="dxa"/>
            <w:gridSpan w:val="3"/>
            <w:tcBorders>
              <w:top w:val="single" w:sz="4" w:space="0" w:color="auto"/>
            </w:tcBorders>
            <w:shd w:val="clear" w:color="auto" w:fill="FFFFFF"/>
            <w:vAlign w:val="center"/>
          </w:tcPr>
          <w:p w14:paraId="212435A6" w14:textId="77777777" w:rsidR="006315B4" w:rsidRPr="00536A29" w:rsidRDefault="006315B4" w:rsidP="0075705D">
            <w:pPr>
              <w:autoSpaceDE w:val="0"/>
              <w:autoSpaceDN w:val="0"/>
              <w:adjustRightInd w:val="0"/>
              <w:jc w:val="both"/>
              <w:rPr>
                <w:rFonts w:eastAsia="Calibri" w:cs="Arial"/>
                <w:sz w:val="22"/>
                <w:szCs w:val="22"/>
                <w:highlight w:val="lightGray"/>
                <w:lang w:val="es-CO" w:eastAsia="en-US"/>
              </w:rPr>
            </w:pPr>
          </w:p>
          <w:p w14:paraId="052AE1D2" w14:textId="77777777" w:rsidR="0095690D" w:rsidRPr="00536A29" w:rsidRDefault="0095690D" w:rsidP="00697125">
            <w:pPr>
              <w:numPr>
                <w:ilvl w:val="0"/>
                <w:numId w:val="44"/>
              </w:numPr>
              <w:ind w:left="494"/>
              <w:jc w:val="both"/>
              <w:rPr>
                <w:rFonts w:cs="Arial"/>
                <w:b/>
                <w:color w:val="000000"/>
                <w:sz w:val="22"/>
                <w:szCs w:val="22"/>
                <w:lang w:val="es-CO"/>
              </w:rPr>
            </w:pPr>
            <w:r w:rsidRPr="00536A29">
              <w:rPr>
                <w:rFonts w:cs="Arial"/>
                <w:b/>
                <w:color w:val="000000"/>
                <w:sz w:val="22"/>
                <w:szCs w:val="22"/>
                <w:lang w:val="es-CO"/>
              </w:rPr>
              <w:t>ANTECEDENTES Y RAZONES DE OPORTUNIDAD Y CONVENIENCIA QUE JUSTIFICAN SU EXPEDICIÓN.</w:t>
            </w:r>
          </w:p>
          <w:p w14:paraId="5925F7D3" w14:textId="77777777" w:rsidR="00FF40AB" w:rsidRPr="00536A29" w:rsidRDefault="00FF40AB" w:rsidP="00FF40AB">
            <w:pPr>
              <w:autoSpaceDE w:val="0"/>
              <w:autoSpaceDN w:val="0"/>
              <w:adjustRightInd w:val="0"/>
              <w:jc w:val="both"/>
              <w:rPr>
                <w:rFonts w:eastAsia="Calibri" w:cs="Arial"/>
                <w:b/>
                <w:bCs/>
                <w:sz w:val="22"/>
                <w:szCs w:val="22"/>
                <w:lang w:val="es-CO" w:eastAsia="en-US"/>
              </w:rPr>
            </w:pPr>
          </w:p>
          <w:p w14:paraId="20A13EE2" w14:textId="77777777" w:rsidR="00FF40AB" w:rsidRPr="00536A29" w:rsidRDefault="00FF40AB" w:rsidP="00F445C5">
            <w:pPr>
              <w:autoSpaceDE w:val="0"/>
              <w:autoSpaceDN w:val="0"/>
              <w:adjustRightInd w:val="0"/>
              <w:ind w:right="214"/>
              <w:jc w:val="both"/>
              <w:rPr>
                <w:rFonts w:eastAsia="Calibri" w:cs="Arial"/>
                <w:bCs/>
                <w:sz w:val="22"/>
                <w:szCs w:val="22"/>
                <w:lang w:val="es-CO" w:eastAsia="en-US"/>
              </w:rPr>
            </w:pPr>
            <w:r w:rsidRPr="00536A29">
              <w:rPr>
                <w:rFonts w:eastAsia="Calibri" w:cs="Arial"/>
                <w:bCs/>
                <w:sz w:val="22"/>
                <w:szCs w:val="22"/>
                <w:lang w:val="es-CO" w:eastAsia="en-US"/>
              </w:rPr>
              <w:t xml:space="preserve">El artículo 70 de la Constitución Política establece que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 </w:t>
            </w:r>
            <w:r w:rsidR="00372532" w:rsidRPr="00536A29">
              <w:rPr>
                <w:rFonts w:eastAsia="Calibri" w:cs="Arial"/>
                <w:bCs/>
                <w:sz w:val="22"/>
                <w:szCs w:val="22"/>
                <w:lang w:val="es-CO" w:eastAsia="en-US"/>
              </w:rPr>
              <w:t>En consecuencia</w:t>
            </w:r>
            <w:r w:rsidRPr="00536A29">
              <w:rPr>
                <w:rFonts w:eastAsia="Calibri" w:cs="Arial"/>
                <w:bCs/>
                <w:sz w:val="22"/>
                <w:szCs w:val="22"/>
                <w:lang w:val="es-CO" w:eastAsia="en-US"/>
              </w:rPr>
              <w:t>, el Estado debe promover la investigación, la ciencia, el desarrollo y la difusión de los valores culturales de la Nación.</w:t>
            </w:r>
          </w:p>
          <w:p w14:paraId="64F626C9" w14:textId="77777777" w:rsidR="00FF40AB" w:rsidRPr="00536A29" w:rsidRDefault="00FF40AB" w:rsidP="00F445C5">
            <w:pPr>
              <w:autoSpaceDE w:val="0"/>
              <w:autoSpaceDN w:val="0"/>
              <w:adjustRightInd w:val="0"/>
              <w:ind w:right="214"/>
              <w:jc w:val="both"/>
              <w:rPr>
                <w:rFonts w:eastAsia="Calibri" w:cs="Arial"/>
                <w:bCs/>
                <w:sz w:val="22"/>
                <w:szCs w:val="22"/>
                <w:lang w:val="es-CO" w:eastAsia="en-US"/>
              </w:rPr>
            </w:pPr>
          </w:p>
          <w:p w14:paraId="523AE02F" w14:textId="38564374" w:rsidR="00FF40AB" w:rsidRPr="00536A29" w:rsidRDefault="00FF40AB" w:rsidP="00F445C5">
            <w:pPr>
              <w:autoSpaceDE w:val="0"/>
              <w:autoSpaceDN w:val="0"/>
              <w:adjustRightInd w:val="0"/>
              <w:ind w:right="214"/>
              <w:jc w:val="both"/>
              <w:rPr>
                <w:rFonts w:eastAsia="Calibri" w:cs="Arial"/>
                <w:bCs/>
                <w:sz w:val="22"/>
                <w:szCs w:val="22"/>
                <w:lang w:eastAsia="en-US"/>
              </w:rPr>
            </w:pPr>
            <w:r w:rsidRPr="00536A29">
              <w:rPr>
                <w:rFonts w:eastAsia="Calibri" w:cs="Arial"/>
                <w:bCs/>
                <w:sz w:val="22"/>
                <w:szCs w:val="22"/>
                <w:lang w:eastAsia="en-US"/>
              </w:rPr>
              <w:t>La Ley 2070 del 31 de diciembre de 2020 dictó medidas para la reactivación y fortalecimiento del sector cultura y, entre otras cosas,</w:t>
            </w:r>
            <w:r w:rsidR="00583823" w:rsidRPr="00536A29">
              <w:rPr>
                <w:rFonts w:eastAsia="Calibri" w:cs="Arial"/>
                <w:bCs/>
                <w:sz w:val="22"/>
                <w:szCs w:val="22"/>
                <w:lang w:eastAsia="en-US"/>
              </w:rPr>
              <w:t xml:space="preserve"> modificó el artículo 13, y adicionó los artículos 13-1 y 13-2, en el sentido de </w:t>
            </w:r>
            <w:r w:rsidR="00FE21B3" w:rsidRPr="00536A29">
              <w:rPr>
                <w:rFonts w:eastAsia="Calibri" w:cs="Arial"/>
                <w:bCs/>
                <w:sz w:val="22"/>
                <w:szCs w:val="22"/>
                <w:lang w:eastAsia="en-US"/>
              </w:rPr>
              <w:t>modificar el alcance de</w:t>
            </w:r>
            <w:r w:rsidR="00583823" w:rsidRPr="00536A29">
              <w:rPr>
                <w:rFonts w:eastAsia="Calibri" w:cs="Arial"/>
                <w:bCs/>
                <w:sz w:val="22"/>
                <w:szCs w:val="22"/>
                <w:lang w:eastAsia="en-US"/>
              </w:rPr>
              <w:t xml:space="preserve"> la destinació</w:t>
            </w:r>
            <w:r w:rsidR="00255FB5">
              <w:rPr>
                <w:rFonts w:eastAsia="Calibri" w:cs="Arial"/>
                <w:bCs/>
                <w:sz w:val="22"/>
                <w:szCs w:val="22"/>
                <w:lang w:eastAsia="en-US"/>
              </w:rPr>
              <w:t>n</w:t>
            </w:r>
            <w:r w:rsidR="00583823" w:rsidRPr="00536A29">
              <w:rPr>
                <w:rFonts w:eastAsia="Calibri" w:cs="Arial"/>
                <w:bCs/>
                <w:sz w:val="22"/>
                <w:szCs w:val="22"/>
                <w:lang w:eastAsia="en-US"/>
              </w:rPr>
              <w:t xml:space="preserve">, el término de ejecución y reintegro de los recursos de la contribución parafiscal cultural de los espectáculos públicos de las artes escénicas. </w:t>
            </w:r>
          </w:p>
          <w:p w14:paraId="37B74BE2" w14:textId="77777777" w:rsidR="00583823" w:rsidRPr="00536A29" w:rsidRDefault="00583823" w:rsidP="00F445C5">
            <w:pPr>
              <w:autoSpaceDE w:val="0"/>
              <w:autoSpaceDN w:val="0"/>
              <w:adjustRightInd w:val="0"/>
              <w:ind w:right="214"/>
              <w:jc w:val="both"/>
              <w:rPr>
                <w:rFonts w:eastAsia="Calibri" w:cs="Arial"/>
                <w:bCs/>
                <w:sz w:val="22"/>
                <w:szCs w:val="22"/>
                <w:lang w:eastAsia="en-US"/>
              </w:rPr>
            </w:pPr>
          </w:p>
          <w:p w14:paraId="0DE6EAA8" w14:textId="0E26156D" w:rsidR="00372532" w:rsidRPr="00536A29" w:rsidRDefault="00FE21B3" w:rsidP="00E43924">
            <w:pPr>
              <w:autoSpaceDE w:val="0"/>
              <w:autoSpaceDN w:val="0"/>
              <w:adjustRightInd w:val="0"/>
              <w:ind w:right="214"/>
              <w:jc w:val="both"/>
              <w:rPr>
                <w:rFonts w:eastAsia="Calibri" w:cs="Arial"/>
                <w:bCs/>
                <w:sz w:val="22"/>
                <w:szCs w:val="22"/>
                <w:lang w:val="es-CO" w:eastAsia="en-US"/>
              </w:rPr>
            </w:pPr>
            <w:r w:rsidRPr="00536A29">
              <w:rPr>
                <w:rFonts w:eastAsia="Calibri" w:cs="Arial"/>
                <w:bCs/>
                <w:sz w:val="22"/>
                <w:szCs w:val="22"/>
                <w:lang w:val="es-CO" w:eastAsia="en-US"/>
              </w:rPr>
              <w:t>L</w:t>
            </w:r>
            <w:r w:rsidRPr="00FE21B3">
              <w:rPr>
                <w:rFonts w:eastAsia="Calibri" w:cs="Arial"/>
                <w:bCs/>
                <w:sz w:val="22"/>
                <w:szCs w:val="22"/>
                <w:lang w:val="es-CO" w:eastAsia="en-US"/>
              </w:rPr>
              <w:t xml:space="preserve">a contribución parafiscal de los espectáculos públicos de las artes escénicas de que trata la Ley 1493 de 2011 </w:t>
            </w:r>
            <w:r w:rsidRPr="00536A29">
              <w:rPr>
                <w:rFonts w:eastAsia="Calibri" w:cs="Arial"/>
                <w:bCs/>
                <w:sz w:val="22"/>
                <w:szCs w:val="22"/>
                <w:lang w:val="es-CO" w:eastAsia="en-US"/>
              </w:rPr>
              <w:t>estaba inicialmente destinada a l</w:t>
            </w:r>
            <w:r w:rsidRPr="00FE21B3">
              <w:rPr>
                <w:rFonts w:eastAsia="Calibri" w:cs="Arial"/>
                <w:bCs/>
                <w:sz w:val="22"/>
                <w:szCs w:val="22"/>
                <w:lang w:val="es-CO" w:eastAsia="en-US"/>
              </w:rPr>
              <w:t>a inversión en construcción, adecuación, mejoramiento y dotación de la infraestructura de los escenarios para los espectáculos públicos de las artes escénicas</w:t>
            </w:r>
            <w:r w:rsidRPr="00536A29">
              <w:rPr>
                <w:rFonts w:eastAsia="Calibri" w:cs="Arial"/>
                <w:bCs/>
                <w:sz w:val="22"/>
                <w:szCs w:val="22"/>
                <w:lang w:val="es-CO" w:eastAsia="en-US"/>
              </w:rPr>
              <w:t xml:space="preserve">. </w:t>
            </w:r>
            <w:r w:rsidR="00255FB5">
              <w:rPr>
                <w:rFonts w:eastAsia="Calibri" w:cs="Arial"/>
                <w:bCs/>
                <w:sz w:val="22"/>
                <w:szCs w:val="22"/>
                <w:lang w:val="es-CO" w:eastAsia="en-US"/>
              </w:rPr>
              <w:t>En este sentido, c</w:t>
            </w:r>
            <w:r w:rsidRPr="00536A29">
              <w:rPr>
                <w:rFonts w:eastAsia="Calibri" w:cs="Arial"/>
                <w:bCs/>
                <w:sz w:val="22"/>
                <w:szCs w:val="22"/>
                <w:lang w:val="es-CO" w:eastAsia="en-US"/>
              </w:rPr>
              <w:t>on la Ley 2070 de 2020 se amplía dicha destinación específica a dos líneas</w:t>
            </w:r>
            <w:r w:rsidR="00255FB5">
              <w:rPr>
                <w:rFonts w:eastAsia="Calibri" w:cs="Arial"/>
                <w:bCs/>
                <w:sz w:val="22"/>
                <w:szCs w:val="22"/>
                <w:lang w:val="es-CO" w:eastAsia="en-US"/>
              </w:rPr>
              <w:t>, quedando en consecuencia:</w:t>
            </w:r>
            <w:r w:rsidRPr="00536A29">
              <w:rPr>
                <w:rFonts w:eastAsia="Calibri" w:cs="Arial"/>
                <w:bCs/>
                <w:sz w:val="22"/>
                <w:szCs w:val="22"/>
                <w:lang w:val="es-CO" w:eastAsia="en-US"/>
              </w:rPr>
              <w:t xml:space="preserve"> 1. Infraestructura y 2. Producción y Circulación y</w:t>
            </w:r>
            <w:r w:rsidR="00E43924" w:rsidRPr="00536A29">
              <w:rPr>
                <w:rFonts w:eastAsia="Calibri" w:cs="Arial"/>
                <w:bCs/>
                <w:sz w:val="22"/>
                <w:szCs w:val="22"/>
                <w:lang w:val="es-CO" w:eastAsia="en-US"/>
              </w:rPr>
              <w:t>, además, se</w:t>
            </w:r>
            <w:r w:rsidRPr="00536A29">
              <w:rPr>
                <w:rFonts w:eastAsia="Calibri" w:cs="Arial"/>
                <w:bCs/>
                <w:sz w:val="22"/>
                <w:szCs w:val="22"/>
                <w:lang w:val="es-CO" w:eastAsia="en-US"/>
              </w:rPr>
              <w:t xml:space="preserve"> establece el término de ejecución de</w:t>
            </w:r>
            <w:r w:rsidR="00E43924" w:rsidRPr="00536A29">
              <w:rPr>
                <w:rFonts w:eastAsia="Calibri" w:cs="Arial"/>
                <w:bCs/>
                <w:sz w:val="22"/>
                <w:szCs w:val="22"/>
                <w:lang w:val="es-CO" w:eastAsia="en-US"/>
              </w:rPr>
              <w:t xml:space="preserve"> los</w:t>
            </w:r>
            <w:r w:rsidRPr="00536A29">
              <w:rPr>
                <w:rFonts w:eastAsia="Calibri" w:cs="Arial"/>
                <w:bCs/>
                <w:sz w:val="22"/>
                <w:szCs w:val="22"/>
                <w:lang w:val="es-CO" w:eastAsia="en-US"/>
              </w:rPr>
              <w:t xml:space="preserve"> recursos de </w:t>
            </w:r>
            <w:r w:rsidR="00E43924" w:rsidRPr="00536A29">
              <w:rPr>
                <w:rFonts w:eastAsia="Calibri" w:cs="Arial"/>
                <w:bCs/>
                <w:sz w:val="22"/>
                <w:szCs w:val="22"/>
                <w:lang w:val="es-CO" w:eastAsia="en-US"/>
              </w:rPr>
              <w:t xml:space="preserve">esta </w:t>
            </w:r>
            <w:r w:rsidRPr="00536A29">
              <w:rPr>
                <w:rFonts w:eastAsia="Calibri" w:cs="Arial"/>
                <w:bCs/>
                <w:sz w:val="22"/>
                <w:szCs w:val="22"/>
                <w:lang w:val="es-CO" w:eastAsia="en-US"/>
              </w:rPr>
              <w:t>contribución parafiscal</w:t>
            </w:r>
            <w:r w:rsidR="00E43924" w:rsidRPr="00536A29">
              <w:rPr>
                <w:rFonts w:eastAsia="Calibri" w:cs="Arial"/>
                <w:bCs/>
                <w:sz w:val="22"/>
                <w:szCs w:val="22"/>
                <w:lang w:val="es-CO" w:eastAsia="en-US"/>
              </w:rPr>
              <w:t>.</w:t>
            </w:r>
          </w:p>
          <w:p w14:paraId="6EC4E26E" w14:textId="77777777" w:rsidR="00697125" w:rsidRPr="00536A29" w:rsidRDefault="00697125" w:rsidP="00372532">
            <w:pPr>
              <w:autoSpaceDE w:val="0"/>
              <w:autoSpaceDN w:val="0"/>
              <w:adjustRightInd w:val="0"/>
              <w:ind w:right="214"/>
              <w:jc w:val="both"/>
              <w:rPr>
                <w:rFonts w:eastAsia="Calibri" w:cs="Arial"/>
                <w:bCs/>
                <w:i/>
                <w:sz w:val="22"/>
                <w:szCs w:val="22"/>
                <w:lang w:eastAsia="en-US"/>
              </w:rPr>
            </w:pPr>
          </w:p>
          <w:p w14:paraId="122F8708" w14:textId="69D7F308" w:rsidR="0030629C" w:rsidRPr="00255FB5" w:rsidRDefault="00372532" w:rsidP="00E43924">
            <w:pPr>
              <w:autoSpaceDE w:val="0"/>
              <w:autoSpaceDN w:val="0"/>
              <w:adjustRightInd w:val="0"/>
              <w:ind w:right="214"/>
              <w:jc w:val="both"/>
              <w:rPr>
                <w:rFonts w:eastAsia="Calibri" w:cs="Arial"/>
                <w:bCs/>
                <w:sz w:val="22"/>
                <w:szCs w:val="22"/>
                <w:lang w:val="es-CO" w:eastAsia="en-US"/>
              </w:rPr>
            </w:pPr>
            <w:r w:rsidRPr="00536A29">
              <w:rPr>
                <w:rFonts w:eastAsia="Calibri" w:cs="Arial"/>
                <w:bCs/>
                <w:sz w:val="22"/>
                <w:szCs w:val="22"/>
                <w:lang w:eastAsia="en-US"/>
              </w:rPr>
              <w:t>Para</w:t>
            </w:r>
            <w:r w:rsidR="007A45C3" w:rsidRPr="00536A29">
              <w:rPr>
                <w:rFonts w:eastAsia="Calibri" w:cs="Arial"/>
                <w:bCs/>
                <w:sz w:val="22"/>
                <w:szCs w:val="22"/>
                <w:lang w:eastAsia="en-US"/>
              </w:rPr>
              <w:t xml:space="preserve"> </w:t>
            </w:r>
            <w:r w:rsidR="00E43924" w:rsidRPr="00536A29">
              <w:rPr>
                <w:rFonts w:eastAsia="Calibri" w:cs="Arial"/>
                <w:bCs/>
                <w:sz w:val="22"/>
                <w:szCs w:val="22"/>
                <w:lang w:eastAsia="en-US"/>
              </w:rPr>
              <w:t xml:space="preserve">garantizar una adecuada interpretación por parte de las entidades territoriales en lo contemplado por la Ley 2070 de 2020 en torno a la contribución parafiscal de espectáculos públicos de las artes escénicas, el proyecto de decreto establece mayor claridad en cuanto a lo que se entiende por la nueva línea de </w:t>
            </w:r>
            <w:r w:rsidR="00E43924" w:rsidRPr="00255FB5">
              <w:rPr>
                <w:rFonts w:eastAsia="Calibri" w:cs="Arial"/>
                <w:bCs/>
                <w:sz w:val="22"/>
                <w:szCs w:val="22"/>
                <w:lang w:val="es-CO" w:eastAsia="en-US"/>
              </w:rPr>
              <w:t>producción y circulación</w:t>
            </w:r>
            <w:r w:rsidR="00255FB5">
              <w:rPr>
                <w:rFonts w:eastAsia="Calibri" w:cs="Arial"/>
                <w:bCs/>
                <w:sz w:val="22"/>
                <w:szCs w:val="22"/>
                <w:lang w:val="es-CO" w:eastAsia="en-US"/>
              </w:rPr>
              <w:t>, así como sus</w:t>
            </w:r>
            <w:r w:rsidR="00E43924" w:rsidRPr="00255FB5">
              <w:rPr>
                <w:rFonts w:eastAsia="Calibri" w:cs="Arial"/>
                <w:bCs/>
                <w:sz w:val="22"/>
                <w:szCs w:val="22"/>
                <w:lang w:val="es-CO" w:eastAsia="en-US"/>
              </w:rPr>
              <w:t xml:space="preserve"> alcances</w:t>
            </w:r>
            <w:r w:rsidR="00255FB5" w:rsidRPr="00255FB5">
              <w:rPr>
                <w:rFonts w:eastAsia="Calibri" w:cs="Arial"/>
                <w:bCs/>
                <w:sz w:val="22"/>
                <w:szCs w:val="22"/>
                <w:lang w:val="es-CO" w:eastAsia="en-US"/>
              </w:rPr>
              <w:t xml:space="preserve">. </w:t>
            </w:r>
          </w:p>
          <w:p w14:paraId="6C582165" w14:textId="0C06152F" w:rsidR="00255FB5" w:rsidRPr="00255FB5" w:rsidRDefault="00255FB5" w:rsidP="00E43924">
            <w:pPr>
              <w:autoSpaceDE w:val="0"/>
              <w:autoSpaceDN w:val="0"/>
              <w:adjustRightInd w:val="0"/>
              <w:ind w:right="214"/>
              <w:jc w:val="both"/>
              <w:rPr>
                <w:rFonts w:eastAsia="Calibri" w:cs="Arial"/>
                <w:bCs/>
                <w:sz w:val="22"/>
                <w:szCs w:val="22"/>
                <w:lang w:val="es-CO" w:eastAsia="en-US"/>
              </w:rPr>
            </w:pPr>
          </w:p>
          <w:p w14:paraId="32528D26" w14:textId="44B498E5" w:rsidR="00255FB5" w:rsidRPr="00255FB5" w:rsidRDefault="00255FB5" w:rsidP="00255FB5">
            <w:pPr>
              <w:autoSpaceDE w:val="0"/>
              <w:autoSpaceDN w:val="0"/>
              <w:adjustRightInd w:val="0"/>
              <w:ind w:right="214"/>
              <w:jc w:val="both"/>
              <w:rPr>
                <w:rFonts w:eastAsia="Calibri" w:cs="Arial"/>
                <w:bCs/>
                <w:sz w:val="22"/>
                <w:szCs w:val="22"/>
                <w:lang w:val="es-CO" w:eastAsia="en-US"/>
              </w:rPr>
            </w:pPr>
            <w:r w:rsidRPr="00255FB5">
              <w:rPr>
                <w:rFonts w:eastAsia="Calibri" w:cs="Arial"/>
                <w:bCs/>
                <w:sz w:val="22"/>
                <w:szCs w:val="22"/>
                <w:lang w:val="es-CO" w:eastAsia="en-US"/>
              </w:rPr>
              <w:t>En consecuencia, con lo anterior, resulta pertinente reglamentar la Ley 2070 de 2020 en lo que atañe a la modificación de varios artículos de la Ley 1493 de 2011 que señalan aspectos de la mayor relevancia para el sector cultura</w:t>
            </w:r>
            <w:r>
              <w:rPr>
                <w:rFonts w:eastAsia="Calibri" w:cs="Arial"/>
                <w:bCs/>
                <w:sz w:val="22"/>
                <w:szCs w:val="22"/>
                <w:lang w:val="es-CO" w:eastAsia="en-US"/>
              </w:rPr>
              <w:t>. Lo anterior</w:t>
            </w:r>
            <w:r w:rsidRPr="00255FB5">
              <w:rPr>
                <w:rFonts w:eastAsia="Calibri" w:cs="Arial"/>
                <w:bCs/>
                <w:sz w:val="22"/>
                <w:szCs w:val="22"/>
                <w:lang w:val="es-CO" w:eastAsia="en-US"/>
              </w:rPr>
              <w:t xml:space="preserve"> en la medida en que establece reglas de procedimiento para la colocación y giro de los recursos parafiscales que</w:t>
            </w:r>
            <w:r>
              <w:rPr>
                <w:rFonts w:eastAsia="Calibri" w:cs="Arial"/>
                <w:bCs/>
                <w:sz w:val="22"/>
                <w:szCs w:val="22"/>
                <w:lang w:val="es-CO" w:eastAsia="en-US"/>
              </w:rPr>
              <w:t xml:space="preserve"> se</w:t>
            </w:r>
            <w:r w:rsidRPr="00255FB5">
              <w:rPr>
                <w:rFonts w:eastAsia="Calibri" w:cs="Arial"/>
                <w:bCs/>
                <w:sz w:val="22"/>
                <w:szCs w:val="22"/>
                <w:lang w:val="es-CO" w:eastAsia="en-US"/>
              </w:rPr>
              <w:t xml:space="preserve"> señalan en el articulado de la Ley, permitiendo a las entidades territoriales beneficiarias de esos recursos, tener </w:t>
            </w:r>
            <w:r>
              <w:rPr>
                <w:rFonts w:eastAsia="Calibri" w:cs="Arial"/>
                <w:bCs/>
                <w:sz w:val="22"/>
                <w:szCs w:val="22"/>
                <w:lang w:val="es-CO" w:eastAsia="en-US"/>
              </w:rPr>
              <w:t xml:space="preserve">mejores </w:t>
            </w:r>
            <w:r w:rsidRPr="00255FB5">
              <w:rPr>
                <w:rFonts w:eastAsia="Calibri" w:cs="Arial"/>
                <w:bCs/>
                <w:sz w:val="22"/>
                <w:szCs w:val="22"/>
                <w:lang w:val="es-CO" w:eastAsia="en-US"/>
              </w:rPr>
              <w:t>claridad</w:t>
            </w:r>
            <w:r>
              <w:rPr>
                <w:rFonts w:eastAsia="Calibri" w:cs="Arial"/>
                <w:bCs/>
                <w:sz w:val="22"/>
                <w:szCs w:val="22"/>
                <w:lang w:val="es-CO" w:eastAsia="en-US"/>
              </w:rPr>
              <w:t>es frente a</w:t>
            </w:r>
            <w:r w:rsidRPr="00255FB5">
              <w:rPr>
                <w:rFonts w:eastAsia="Calibri" w:cs="Arial"/>
                <w:bCs/>
                <w:sz w:val="22"/>
                <w:szCs w:val="22"/>
                <w:lang w:val="es-CO" w:eastAsia="en-US"/>
              </w:rPr>
              <w:t xml:space="preserve"> los tiempos de ejecución</w:t>
            </w:r>
            <w:r>
              <w:rPr>
                <w:rFonts w:eastAsia="Calibri" w:cs="Arial"/>
                <w:bCs/>
                <w:sz w:val="22"/>
                <w:szCs w:val="22"/>
                <w:lang w:val="es-CO" w:eastAsia="en-US"/>
              </w:rPr>
              <w:t xml:space="preserve">, definiendo para estos efectos un plazo no mayor a tres años. </w:t>
            </w:r>
            <w:r w:rsidRPr="00255FB5">
              <w:rPr>
                <w:rFonts w:eastAsia="Calibri" w:cs="Arial"/>
                <w:bCs/>
                <w:sz w:val="22"/>
                <w:szCs w:val="22"/>
                <w:lang w:val="es-CO" w:eastAsia="en-US"/>
              </w:rPr>
              <w:t xml:space="preserve"> </w:t>
            </w:r>
          </w:p>
          <w:p w14:paraId="327121FA" w14:textId="39313A07" w:rsidR="00255FB5" w:rsidRPr="00255FB5" w:rsidRDefault="00255FB5" w:rsidP="00255FB5">
            <w:pPr>
              <w:autoSpaceDE w:val="0"/>
              <w:autoSpaceDN w:val="0"/>
              <w:adjustRightInd w:val="0"/>
              <w:ind w:right="214"/>
              <w:jc w:val="both"/>
              <w:rPr>
                <w:rFonts w:eastAsia="Calibri" w:cs="Arial"/>
                <w:bCs/>
                <w:sz w:val="22"/>
                <w:szCs w:val="22"/>
                <w:lang w:val="es-CO" w:eastAsia="en-US"/>
              </w:rPr>
            </w:pPr>
          </w:p>
          <w:p w14:paraId="1ACE508B" w14:textId="1B3EAEE6" w:rsidR="00255FB5" w:rsidRPr="00255FB5" w:rsidRDefault="00255FB5" w:rsidP="00255FB5">
            <w:pPr>
              <w:autoSpaceDE w:val="0"/>
              <w:autoSpaceDN w:val="0"/>
              <w:adjustRightInd w:val="0"/>
              <w:ind w:right="214"/>
              <w:jc w:val="both"/>
              <w:rPr>
                <w:rFonts w:eastAsia="Calibri" w:cs="Arial"/>
                <w:bCs/>
                <w:sz w:val="22"/>
                <w:szCs w:val="22"/>
                <w:lang w:val="es-CO" w:eastAsia="en-US"/>
              </w:rPr>
            </w:pPr>
            <w:r w:rsidRPr="00255FB5">
              <w:rPr>
                <w:rFonts w:eastAsia="Calibri" w:cs="Arial"/>
                <w:bCs/>
                <w:sz w:val="22"/>
                <w:szCs w:val="22"/>
                <w:lang w:val="es-CO" w:eastAsia="en-US"/>
              </w:rPr>
              <w:t xml:space="preserve">Adicionalmente y como aspecto de mayor relevancia, la </w:t>
            </w:r>
            <w:r>
              <w:rPr>
                <w:rFonts w:eastAsia="Calibri" w:cs="Arial"/>
                <w:bCs/>
                <w:sz w:val="22"/>
                <w:szCs w:val="22"/>
                <w:lang w:val="es-CO" w:eastAsia="en-US"/>
              </w:rPr>
              <w:t>L</w:t>
            </w:r>
            <w:r w:rsidRPr="00255FB5">
              <w:rPr>
                <w:rFonts w:eastAsia="Calibri" w:cs="Arial"/>
                <w:bCs/>
                <w:sz w:val="22"/>
                <w:szCs w:val="22"/>
                <w:lang w:val="es-CO" w:eastAsia="en-US"/>
              </w:rPr>
              <w:t>ey 2070 no s</w:t>
            </w:r>
            <w:r>
              <w:rPr>
                <w:rFonts w:eastAsia="Calibri" w:cs="Arial"/>
                <w:bCs/>
                <w:sz w:val="22"/>
                <w:szCs w:val="22"/>
                <w:lang w:val="es-CO" w:eastAsia="en-US"/>
              </w:rPr>
              <w:t>ó</w:t>
            </w:r>
            <w:r w:rsidRPr="00255FB5">
              <w:rPr>
                <w:rFonts w:eastAsia="Calibri" w:cs="Arial"/>
                <w:bCs/>
                <w:sz w:val="22"/>
                <w:szCs w:val="22"/>
                <w:lang w:val="es-CO" w:eastAsia="en-US"/>
              </w:rPr>
              <w:t>lo se queda en aspectos estrictamente procedimentales, permite</w:t>
            </w:r>
            <w:r>
              <w:rPr>
                <w:rFonts w:eastAsia="Calibri" w:cs="Arial"/>
                <w:bCs/>
                <w:sz w:val="22"/>
                <w:szCs w:val="22"/>
                <w:lang w:val="es-CO" w:eastAsia="en-US"/>
              </w:rPr>
              <w:t xml:space="preserve"> a su vez</w:t>
            </w:r>
            <w:r w:rsidRPr="00255FB5">
              <w:rPr>
                <w:rFonts w:eastAsia="Calibri" w:cs="Arial"/>
                <w:bCs/>
                <w:sz w:val="22"/>
                <w:szCs w:val="22"/>
                <w:lang w:val="es-CO" w:eastAsia="en-US"/>
              </w:rPr>
              <w:t xml:space="preserve"> y abre el espectro para que no solamente se concentre y destine el recurso económico para proyectos de infraestructura del sector cultura, sino que pueda ser usado en proyectos que son propios de la producción y circulación, conceptos que son definidos por el Ministerio de Cultura en esta propuesta de Decreto. </w:t>
            </w:r>
          </w:p>
          <w:p w14:paraId="7F3A48D2" w14:textId="77777777" w:rsidR="00255FB5" w:rsidRPr="00255FB5" w:rsidRDefault="00255FB5" w:rsidP="00255FB5">
            <w:pPr>
              <w:autoSpaceDE w:val="0"/>
              <w:autoSpaceDN w:val="0"/>
              <w:adjustRightInd w:val="0"/>
              <w:ind w:right="214"/>
              <w:jc w:val="both"/>
              <w:rPr>
                <w:rFonts w:eastAsia="Calibri" w:cs="Arial"/>
                <w:bCs/>
                <w:sz w:val="22"/>
                <w:szCs w:val="22"/>
                <w:lang w:val="es-CO" w:eastAsia="en-US"/>
              </w:rPr>
            </w:pPr>
          </w:p>
          <w:p w14:paraId="505A586C" w14:textId="4F848D4F" w:rsidR="00255FB5" w:rsidRDefault="00255FB5" w:rsidP="00255FB5">
            <w:pPr>
              <w:autoSpaceDE w:val="0"/>
              <w:autoSpaceDN w:val="0"/>
              <w:adjustRightInd w:val="0"/>
              <w:ind w:right="214"/>
              <w:jc w:val="both"/>
              <w:rPr>
                <w:rFonts w:eastAsia="Calibri" w:cs="Arial"/>
                <w:bCs/>
                <w:sz w:val="22"/>
                <w:szCs w:val="22"/>
                <w:lang w:val="es-CO" w:eastAsia="en-US"/>
              </w:rPr>
            </w:pPr>
            <w:r w:rsidRPr="00255FB5">
              <w:rPr>
                <w:rFonts w:eastAsia="Calibri" w:cs="Arial"/>
                <w:bCs/>
                <w:sz w:val="22"/>
                <w:szCs w:val="22"/>
                <w:lang w:val="es-CO" w:eastAsia="en-US"/>
              </w:rPr>
              <w:t>Lo anterior, permitirá dinamizar el sector cultura, y es incluso una herramienta valida para atacar problemáticas que se han atizado por la pandemia del COVID 19, siendo esta la oportunidad para mejorar los indicadores de ejecución por parte de las entidades territoriales, e incluso respecto de los recursos no ejecutados,</w:t>
            </w:r>
            <w:r>
              <w:rPr>
                <w:rFonts w:eastAsia="Calibri" w:cs="Arial"/>
                <w:bCs/>
                <w:sz w:val="22"/>
                <w:szCs w:val="22"/>
                <w:lang w:val="es-CO" w:eastAsia="en-US"/>
              </w:rPr>
              <w:t xml:space="preserve"> dado que </w:t>
            </w:r>
            <w:r w:rsidRPr="00255FB5">
              <w:rPr>
                <w:rFonts w:eastAsia="Calibri" w:cs="Arial"/>
                <w:bCs/>
                <w:sz w:val="22"/>
                <w:szCs w:val="22"/>
                <w:lang w:val="es-CO" w:eastAsia="en-US"/>
              </w:rPr>
              <w:t>los mismos ingres</w:t>
            </w:r>
            <w:r>
              <w:rPr>
                <w:rFonts w:eastAsia="Calibri" w:cs="Arial"/>
                <w:bCs/>
                <w:sz w:val="22"/>
                <w:szCs w:val="22"/>
                <w:lang w:val="es-CO" w:eastAsia="en-US"/>
              </w:rPr>
              <w:t>arán</w:t>
            </w:r>
            <w:r w:rsidRPr="00255FB5">
              <w:rPr>
                <w:rFonts w:eastAsia="Calibri" w:cs="Arial"/>
                <w:bCs/>
                <w:sz w:val="22"/>
                <w:szCs w:val="22"/>
                <w:lang w:val="es-CO" w:eastAsia="en-US"/>
              </w:rPr>
              <w:t xml:space="preserve"> al Fondo Foncultura, situación que es también una</w:t>
            </w:r>
            <w:r>
              <w:rPr>
                <w:rFonts w:eastAsia="Calibri" w:cs="Arial"/>
                <w:bCs/>
                <w:sz w:val="22"/>
                <w:szCs w:val="22"/>
                <w:lang w:val="es-CO" w:eastAsia="en-US"/>
              </w:rPr>
              <w:t xml:space="preserve"> novedad y es en efecto una</w:t>
            </w:r>
            <w:r w:rsidRPr="00255FB5">
              <w:rPr>
                <w:rFonts w:eastAsia="Calibri" w:cs="Arial"/>
                <w:bCs/>
                <w:sz w:val="22"/>
                <w:szCs w:val="22"/>
                <w:lang w:val="es-CO" w:eastAsia="en-US"/>
              </w:rPr>
              <w:t xml:space="preserve"> ventaja respecto de la regulación anterior</w:t>
            </w:r>
            <w:r>
              <w:rPr>
                <w:rFonts w:eastAsia="Calibri" w:cs="Arial"/>
                <w:bCs/>
                <w:sz w:val="22"/>
                <w:szCs w:val="22"/>
                <w:lang w:val="es-CO" w:eastAsia="en-US"/>
              </w:rPr>
              <w:t>,</w:t>
            </w:r>
            <w:r w:rsidRPr="00255FB5">
              <w:rPr>
                <w:rFonts w:eastAsia="Calibri" w:cs="Arial"/>
                <w:bCs/>
                <w:sz w:val="22"/>
                <w:szCs w:val="22"/>
                <w:lang w:val="es-CO" w:eastAsia="en-US"/>
              </w:rPr>
              <w:t xml:space="preserve"> en la medida en que retornan al sector cultura y no se devuelven al Tesoro Nacional</w:t>
            </w:r>
            <w:r>
              <w:rPr>
                <w:rFonts w:eastAsia="Calibri" w:cs="Arial"/>
                <w:bCs/>
                <w:sz w:val="22"/>
                <w:szCs w:val="22"/>
                <w:lang w:val="es-CO" w:eastAsia="en-US"/>
              </w:rPr>
              <w:t xml:space="preserve"> para las asignaciones generales</w:t>
            </w:r>
            <w:r w:rsidRPr="00255FB5">
              <w:rPr>
                <w:rFonts w:eastAsia="Calibri" w:cs="Arial"/>
                <w:bCs/>
                <w:sz w:val="22"/>
                <w:szCs w:val="22"/>
                <w:lang w:val="es-CO" w:eastAsia="en-US"/>
              </w:rPr>
              <w:t xml:space="preserve">.    </w:t>
            </w:r>
          </w:p>
          <w:p w14:paraId="2BD51EE6" w14:textId="2A0F1F32" w:rsidR="00255FB5" w:rsidRDefault="00255FB5" w:rsidP="00255FB5">
            <w:pPr>
              <w:autoSpaceDE w:val="0"/>
              <w:autoSpaceDN w:val="0"/>
              <w:adjustRightInd w:val="0"/>
              <w:ind w:right="214"/>
              <w:jc w:val="both"/>
              <w:rPr>
                <w:rFonts w:eastAsia="Calibri" w:cs="Arial"/>
                <w:bCs/>
                <w:sz w:val="22"/>
                <w:szCs w:val="22"/>
                <w:lang w:val="es-CO" w:eastAsia="en-US"/>
              </w:rPr>
            </w:pPr>
          </w:p>
          <w:p w14:paraId="212C7923" w14:textId="4E0B27D9" w:rsidR="00255FB5" w:rsidRPr="00255FB5" w:rsidRDefault="00255FB5" w:rsidP="00255FB5">
            <w:pPr>
              <w:autoSpaceDE w:val="0"/>
              <w:autoSpaceDN w:val="0"/>
              <w:adjustRightInd w:val="0"/>
              <w:ind w:right="214"/>
              <w:jc w:val="both"/>
              <w:rPr>
                <w:rFonts w:eastAsia="Calibri" w:cs="Arial"/>
                <w:bCs/>
                <w:sz w:val="22"/>
                <w:szCs w:val="22"/>
                <w:lang w:val="es-CO" w:eastAsia="en-US"/>
              </w:rPr>
            </w:pPr>
            <w:r>
              <w:rPr>
                <w:rFonts w:eastAsia="Calibri" w:cs="Arial"/>
                <w:bCs/>
                <w:sz w:val="22"/>
                <w:szCs w:val="22"/>
                <w:lang w:val="es-CO" w:eastAsia="en-US"/>
              </w:rPr>
              <w:t xml:space="preserve">Es importante destacar que respecto del contenido completo de la Ley, en particular lo que atañe al Fondo Foncultura, ya se presentó un proyecto de Decreto que junto con el presente, permitirá mejorar a nivel de las herramientas de gestión con las que cuenta el sector cultura para ser mucho mas eficeintes en la colocación de los recursos, y por ende en la generación de proyectos que beneficien a todos los sectores que forman parte de este sector, en especial, en lo que atañe a este Decreto, en lo relativo a los espectaculos públicos. </w:t>
            </w:r>
          </w:p>
          <w:p w14:paraId="7C4DE170" w14:textId="77777777" w:rsidR="00A80BBC" w:rsidRPr="00255FB5" w:rsidRDefault="00A80BBC" w:rsidP="00255FB5">
            <w:pPr>
              <w:autoSpaceDE w:val="0"/>
              <w:autoSpaceDN w:val="0"/>
              <w:adjustRightInd w:val="0"/>
              <w:ind w:right="214"/>
              <w:jc w:val="both"/>
              <w:rPr>
                <w:rFonts w:eastAsia="Calibri" w:cs="Arial"/>
                <w:bCs/>
                <w:sz w:val="22"/>
                <w:szCs w:val="22"/>
                <w:lang w:val="es-CO" w:eastAsia="en-US"/>
              </w:rPr>
            </w:pPr>
          </w:p>
          <w:p w14:paraId="52CE6D76" w14:textId="77777777" w:rsidR="00FF40AB" w:rsidRPr="00536A29" w:rsidRDefault="00372532" w:rsidP="00F445C5">
            <w:pPr>
              <w:autoSpaceDE w:val="0"/>
              <w:autoSpaceDN w:val="0"/>
              <w:adjustRightInd w:val="0"/>
              <w:ind w:right="73"/>
              <w:jc w:val="both"/>
              <w:rPr>
                <w:rFonts w:eastAsia="Calibri" w:cs="Arial"/>
                <w:bCs/>
                <w:sz w:val="22"/>
                <w:szCs w:val="22"/>
                <w:highlight w:val="lightGray"/>
                <w:lang w:eastAsia="en-US"/>
              </w:rPr>
            </w:pPr>
            <w:r w:rsidRPr="00255FB5">
              <w:rPr>
                <w:rFonts w:eastAsia="Calibri" w:cs="Arial"/>
                <w:bCs/>
                <w:sz w:val="22"/>
                <w:szCs w:val="22"/>
                <w:lang w:eastAsia="en-US"/>
              </w:rPr>
              <w:t>Por</w:t>
            </w:r>
            <w:r w:rsidR="00FF40AB" w:rsidRPr="00255FB5">
              <w:rPr>
                <w:rFonts w:eastAsia="Calibri" w:cs="Arial"/>
                <w:bCs/>
                <w:sz w:val="22"/>
                <w:szCs w:val="22"/>
                <w:lang w:eastAsia="en-US"/>
              </w:rPr>
              <w:t xml:space="preserve"> lo expuesto, se hace necesario adicionar el Decreto 1080 de 2015, Único Reglamentario del Sector Cultura, para incluir la reglamentación de las condiciones para la apropiación de recursos, funcionamiento</w:t>
            </w:r>
            <w:r w:rsidRPr="00255FB5">
              <w:rPr>
                <w:rFonts w:eastAsia="Calibri" w:cs="Arial"/>
                <w:bCs/>
                <w:sz w:val="22"/>
                <w:szCs w:val="22"/>
                <w:lang w:eastAsia="en-US"/>
              </w:rPr>
              <w:t xml:space="preserve">, </w:t>
            </w:r>
            <w:r w:rsidR="00FF40AB" w:rsidRPr="00255FB5">
              <w:rPr>
                <w:rFonts w:eastAsia="Calibri" w:cs="Arial"/>
                <w:bCs/>
                <w:sz w:val="22"/>
                <w:szCs w:val="22"/>
                <w:lang w:eastAsia="en-US"/>
              </w:rPr>
              <w:t>operación</w:t>
            </w:r>
            <w:r w:rsidR="008142B3" w:rsidRPr="00255FB5">
              <w:rPr>
                <w:rFonts w:eastAsia="Calibri" w:cs="Arial"/>
                <w:bCs/>
                <w:sz w:val="22"/>
                <w:szCs w:val="22"/>
                <w:lang w:eastAsia="en-US"/>
              </w:rPr>
              <w:t xml:space="preserve"> y </w:t>
            </w:r>
            <w:r w:rsidRPr="00255FB5">
              <w:rPr>
                <w:rFonts w:eastAsia="Calibri" w:cs="Arial"/>
                <w:bCs/>
                <w:sz w:val="22"/>
                <w:szCs w:val="22"/>
                <w:lang w:eastAsia="en-US"/>
              </w:rPr>
              <w:t>administración</w:t>
            </w:r>
            <w:r w:rsidR="00FF40AB" w:rsidRPr="00255FB5">
              <w:rPr>
                <w:rFonts w:eastAsia="Calibri" w:cs="Arial"/>
                <w:bCs/>
                <w:sz w:val="22"/>
                <w:szCs w:val="22"/>
                <w:lang w:eastAsia="en-US"/>
              </w:rPr>
              <w:t xml:space="preserve"> FONCULTURA, </w:t>
            </w:r>
            <w:r w:rsidR="008142B3" w:rsidRPr="00255FB5">
              <w:rPr>
                <w:rFonts w:eastAsia="Calibri" w:cs="Arial"/>
                <w:bCs/>
                <w:sz w:val="22"/>
                <w:szCs w:val="22"/>
                <w:lang w:eastAsia="en-US"/>
              </w:rPr>
              <w:t xml:space="preserve">y de esta manera dar </w:t>
            </w:r>
            <w:r w:rsidRPr="00255FB5">
              <w:rPr>
                <w:rFonts w:eastAsia="Calibri" w:cs="Arial"/>
                <w:bCs/>
                <w:sz w:val="22"/>
                <w:szCs w:val="22"/>
                <w:lang w:eastAsia="en-US"/>
              </w:rPr>
              <w:t xml:space="preserve">cumplimiento </w:t>
            </w:r>
            <w:r w:rsidR="008142B3" w:rsidRPr="00255FB5">
              <w:rPr>
                <w:rFonts w:eastAsia="Calibri" w:cs="Arial"/>
                <w:bCs/>
                <w:sz w:val="22"/>
                <w:szCs w:val="22"/>
                <w:lang w:eastAsia="en-US"/>
              </w:rPr>
              <w:t>a los propósitos de su creación, señalados</w:t>
            </w:r>
            <w:r w:rsidRPr="00255FB5">
              <w:rPr>
                <w:rFonts w:eastAsia="Calibri" w:cs="Arial"/>
                <w:bCs/>
                <w:sz w:val="22"/>
                <w:szCs w:val="22"/>
                <w:lang w:eastAsia="en-US"/>
              </w:rPr>
              <w:t xml:space="preserve"> en la Ley 2070 de 2020</w:t>
            </w:r>
            <w:r w:rsidR="00FF40AB" w:rsidRPr="00255FB5">
              <w:rPr>
                <w:rFonts w:eastAsia="Calibri" w:cs="Arial"/>
                <w:bCs/>
                <w:sz w:val="22"/>
                <w:szCs w:val="22"/>
                <w:lang w:eastAsia="en-US"/>
              </w:rPr>
              <w:t>.</w:t>
            </w:r>
          </w:p>
        </w:tc>
      </w:tr>
      <w:tr w:rsidR="00DF60FD" w:rsidRPr="009F7CED" w14:paraId="12D440D8" w14:textId="77777777" w:rsidTr="0075705D">
        <w:trPr>
          <w:trHeight w:val="47"/>
        </w:trPr>
        <w:tc>
          <w:tcPr>
            <w:tcW w:w="10774" w:type="dxa"/>
            <w:gridSpan w:val="3"/>
            <w:shd w:val="clear" w:color="auto" w:fill="FFFFFF"/>
            <w:vAlign w:val="center"/>
          </w:tcPr>
          <w:p w14:paraId="3E490868" w14:textId="77777777" w:rsidR="00251FCE" w:rsidRPr="009F7CED" w:rsidRDefault="00251FCE" w:rsidP="0075705D">
            <w:pPr>
              <w:jc w:val="both"/>
              <w:rPr>
                <w:lang w:eastAsia="es-CO"/>
              </w:rPr>
            </w:pPr>
          </w:p>
        </w:tc>
      </w:tr>
      <w:tr w:rsidR="00DF60FD" w:rsidRPr="009F7CED" w14:paraId="1E03E806"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73C867BF" w14:textId="77777777" w:rsidR="00760A14" w:rsidRDefault="00760A14" w:rsidP="00760A14">
            <w:pPr>
              <w:ind w:left="494"/>
              <w:rPr>
                <w:rFonts w:cs="Arial"/>
                <w:b/>
                <w:color w:val="000000"/>
                <w:sz w:val="22"/>
                <w:szCs w:val="22"/>
              </w:rPr>
            </w:pPr>
          </w:p>
          <w:p w14:paraId="6A40FCF3" w14:textId="77777777" w:rsidR="00DF60FD" w:rsidRDefault="00DF60FD" w:rsidP="0075705D">
            <w:pPr>
              <w:numPr>
                <w:ilvl w:val="0"/>
                <w:numId w:val="44"/>
              </w:numPr>
              <w:ind w:left="494"/>
              <w:rPr>
                <w:rFonts w:cs="Arial"/>
                <w:b/>
                <w:color w:val="000000"/>
                <w:sz w:val="22"/>
                <w:szCs w:val="22"/>
              </w:rPr>
            </w:pPr>
            <w:r w:rsidRPr="009F7CED">
              <w:rPr>
                <w:rFonts w:cs="Arial"/>
                <w:b/>
                <w:color w:val="000000"/>
                <w:sz w:val="22"/>
                <w:szCs w:val="22"/>
              </w:rPr>
              <w:t>AMBITO DE APLICACIÓN Y SUJETO</w:t>
            </w:r>
            <w:r w:rsidR="00795C6B">
              <w:rPr>
                <w:rFonts w:cs="Arial"/>
                <w:b/>
                <w:color w:val="000000"/>
                <w:sz w:val="22"/>
                <w:szCs w:val="22"/>
              </w:rPr>
              <w:t>S</w:t>
            </w:r>
            <w:r w:rsidRPr="009F7CED">
              <w:rPr>
                <w:rFonts w:cs="Arial"/>
                <w:b/>
                <w:color w:val="000000"/>
                <w:sz w:val="22"/>
                <w:szCs w:val="22"/>
              </w:rPr>
              <w:t xml:space="preserve"> A QUIEN</w:t>
            </w:r>
            <w:r w:rsidR="00795C6B">
              <w:rPr>
                <w:rFonts w:cs="Arial"/>
                <w:b/>
                <w:color w:val="000000"/>
                <w:sz w:val="22"/>
                <w:szCs w:val="22"/>
              </w:rPr>
              <w:t>ES</w:t>
            </w:r>
            <w:r w:rsidRPr="009F7CED">
              <w:rPr>
                <w:rFonts w:cs="Arial"/>
                <w:b/>
                <w:color w:val="000000"/>
                <w:sz w:val="22"/>
                <w:szCs w:val="22"/>
              </w:rPr>
              <w:t xml:space="preserve"> VA DIRIGIDO</w:t>
            </w:r>
          </w:p>
          <w:p w14:paraId="5A34EC23" w14:textId="77777777" w:rsidR="00FF40AB" w:rsidRDefault="00FF40AB" w:rsidP="00FF40AB">
            <w:pPr>
              <w:pStyle w:val="Listavistosa-nfasis11"/>
              <w:spacing w:line="240" w:lineRule="auto"/>
              <w:ind w:left="0"/>
              <w:jc w:val="both"/>
              <w:rPr>
                <w:rFonts w:ascii="Arial" w:hAnsi="Arial" w:cs="Arial"/>
                <w:i/>
                <w:color w:val="808080"/>
                <w:sz w:val="18"/>
              </w:rPr>
            </w:pPr>
          </w:p>
          <w:p w14:paraId="3B53F034" w14:textId="77777777" w:rsidR="008142B3" w:rsidRDefault="008142B3" w:rsidP="00255FB5">
            <w:pPr>
              <w:jc w:val="both"/>
              <w:rPr>
                <w:rFonts w:cs="Arial"/>
                <w:iCs/>
                <w:color w:val="000000"/>
                <w:sz w:val="22"/>
                <w:szCs w:val="22"/>
              </w:rPr>
            </w:pPr>
            <w:r>
              <w:rPr>
                <w:rFonts w:cs="Arial"/>
                <w:iCs/>
                <w:color w:val="000000"/>
                <w:sz w:val="22"/>
                <w:szCs w:val="22"/>
              </w:rPr>
              <w:t>La aplicación de la norma es general, de manera que regirá en todo el territorio nacional, sin distinción particular.</w:t>
            </w:r>
          </w:p>
          <w:p w14:paraId="1E32CD8A" w14:textId="77777777" w:rsidR="00795C6B" w:rsidRPr="009F7CED" w:rsidRDefault="00795C6B" w:rsidP="008142B3">
            <w:pPr>
              <w:rPr>
                <w:rFonts w:cs="Arial"/>
                <w:iCs/>
                <w:color w:val="000000"/>
                <w:sz w:val="22"/>
                <w:szCs w:val="22"/>
              </w:rPr>
            </w:pPr>
          </w:p>
        </w:tc>
      </w:tr>
      <w:tr w:rsidR="00DF60FD" w:rsidRPr="009F7CED" w14:paraId="506B907B" w14:textId="77777777" w:rsidTr="0075705D">
        <w:trPr>
          <w:trHeight w:val="278"/>
        </w:trPr>
        <w:tc>
          <w:tcPr>
            <w:tcW w:w="10774" w:type="dxa"/>
            <w:gridSpan w:val="3"/>
            <w:tcBorders>
              <w:bottom w:val="single" w:sz="4" w:space="0" w:color="auto"/>
            </w:tcBorders>
            <w:shd w:val="clear" w:color="auto" w:fill="FFFFFF"/>
            <w:vAlign w:val="center"/>
          </w:tcPr>
          <w:p w14:paraId="16E8ED32" w14:textId="77777777" w:rsidR="00760A14" w:rsidRDefault="00760A14" w:rsidP="00340025">
            <w:pPr>
              <w:ind w:left="494" w:hanging="283"/>
              <w:rPr>
                <w:rFonts w:cs="Arial"/>
                <w:b/>
                <w:color w:val="000000"/>
                <w:sz w:val="22"/>
                <w:szCs w:val="22"/>
              </w:rPr>
            </w:pPr>
          </w:p>
          <w:p w14:paraId="00E067CB" w14:textId="77777777" w:rsidR="00D05B67" w:rsidRPr="00340025" w:rsidRDefault="00795C6B" w:rsidP="00340025">
            <w:pPr>
              <w:ind w:left="494" w:hanging="283"/>
              <w:rPr>
                <w:rFonts w:cs="Arial"/>
                <w:b/>
                <w:color w:val="000000"/>
                <w:sz w:val="22"/>
                <w:szCs w:val="22"/>
              </w:rPr>
            </w:pPr>
            <w:r>
              <w:rPr>
                <w:rFonts w:cs="Arial"/>
                <w:b/>
                <w:color w:val="000000"/>
                <w:sz w:val="22"/>
                <w:szCs w:val="22"/>
              </w:rPr>
              <w:t xml:space="preserve">3. </w:t>
            </w:r>
            <w:r w:rsidR="00DF60FD" w:rsidRPr="009F7CED">
              <w:rPr>
                <w:rFonts w:cs="Arial"/>
                <w:b/>
                <w:color w:val="000000"/>
                <w:sz w:val="22"/>
                <w:szCs w:val="22"/>
              </w:rPr>
              <w:t>VIABILIDAD JURÍDICA</w:t>
            </w:r>
          </w:p>
          <w:p w14:paraId="3BFA74F1" w14:textId="77777777" w:rsidR="00D05B67" w:rsidRPr="00084B49" w:rsidRDefault="00D05B67" w:rsidP="0075705D">
            <w:pPr>
              <w:ind w:left="494" w:hanging="283"/>
              <w:rPr>
                <w:rFonts w:cs="Arial"/>
                <w:i/>
                <w:color w:val="808080"/>
                <w:sz w:val="22"/>
                <w:szCs w:val="22"/>
              </w:rPr>
            </w:pPr>
          </w:p>
          <w:p w14:paraId="1265231D" w14:textId="77777777" w:rsidR="00795C6B" w:rsidRDefault="00795C6B" w:rsidP="0075705D">
            <w:pPr>
              <w:ind w:left="494" w:hanging="283"/>
              <w:jc w:val="both"/>
              <w:rPr>
                <w:rFonts w:cs="Arial"/>
                <w:sz w:val="22"/>
                <w:szCs w:val="22"/>
                <w:lang w:val="es-CO" w:eastAsia="es-CO"/>
              </w:rPr>
            </w:pPr>
            <w:r>
              <w:rPr>
                <w:rFonts w:cs="Arial"/>
                <w:sz w:val="22"/>
                <w:szCs w:val="22"/>
                <w:lang w:val="es-CO" w:eastAsia="es-CO"/>
              </w:rPr>
              <w:t>3.1 Análisis de las normas que otorgan la competencia para la expedición del proyecto normativo</w:t>
            </w:r>
          </w:p>
          <w:p w14:paraId="4D00BB25" w14:textId="77777777" w:rsidR="00795C6B" w:rsidRDefault="00795C6B" w:rsidP="0075705D">
            <w:pPr>
              <w:ind w:left="494" w:hanging="283"/>
              <w:jc w:val="both"/>
              <w:rPr>
                <w:rFonts w:cs="Arial"/>
                <w:sz w:val="22"/>
                <w:szCs w:val="22"/>
                <w:lang w:val="es-CO" w:eastAsia="es-CO"/>
              </w:rPr>
            </w:pPr>
          </w:p>
          <w:p w14:paraId="30184958" w14:textId="77777777" w:rsidR="001876DD" w:rsidRDefault="001876DD" w:rsidP="00F445C5">
            <w:pPr>
              <w:ind w:left="926" w:right="214" w:hanging="283"/>
              <w:jc w:val="both"/>
              <w:rPr>
                <w:rFonts w:cs="Arial"/>
                <w:sz w:val="22"/>
                <w:szCs w:val="22"/>
                <w:lang w:val="es-CO" w:eastAsia="es-CO"/>
              </w:rPr>
            </w:pPr>
            <w:r>
              <w:rPr>
                <w:rFonts w:cs="Arial"/>
                <w:sz w:val="22"/>
                <w:szCs w:val="22"/>
                <w:lang w:val="es-CO" w:eastAsia="es-CO"/>
              </w:rPr>
              <w:t xml:space="preserve">Las normas que otorgan la competencia para expedir el proyecto normativo son: </w:t>
            </w:r>
          </w:p>
          <w:p w14:paraId="2EC272B6" w14:textId="77777777" w:rsidR="001876DD" w:rsidRDefault="001876DD" w:rsidP="00F445C5">
            <w:pPr>
              <w:ind w:left="926" w:right="214" w:hanging="283"/>
              <w:jc w:val="both"/>
              <w:rPr>
                <w:rFonts w:cs="Arial"/>
                <w:sz w:val="22"/>
                <w:szCs w:val="22"/>
                <w:lang w:val="es-CO" w:eastAsia="es-CO"/>
              </w:rPr>
            </w:pPr>
          </w:p>
          <w:p w14:paraId="74B77D5E" w14:textId="77777777" w:rsidR="001876DD" w:rsidRDefault="001876DD" w:rsidP="00F445C5">
            <w:pPr>
              <w:numPr>
                <w:ilvl w:val="0"/>
                <w:numId w:val="46"/>
              </w:numPr>
              <w:ind w:left="1152" w:right="214"/>
              <w:jc w:val="both"/>
              <w:rPr>
                <w:rFonts w:cs="Arial"/>
                <w:sz w:val="22"/>
                <w:szCs w:val="22"/>
                <w:lang w:val="es-CO" w:eastAsia="es-CO"/>
              </w:rPr>
            </w:pPr>
            <w:r w:rsidRPr="00CA50D4">
              <w:rPr>
                <w:rFonts w:cs="Arial"/>
                <w:sz w:val="22"/>
                <w:szCs w:val="22"/>
                <w:lang w:val="es-CO" w:eastAsia="es-CO"/>
              </w:rPr>
              <w:t xml:space="preserve">Artículo 189 numeral de la 11 </w:t>
            </w:r>
            <w:r w:rsidR="00CA50D4">
              <w:rPr>
                <w:rFonts w:cs="Arial"/>
                <w:sz w:val="22"/>
                <w:szCs w:val="22"/>
                <w:lang w:val="es-CO" w:eastAsia="es-CO"/>
              </w:rPr>
              <w:t xml:space="preserve">de la </w:t>
            </w:r>
            <w:r w:rsidRPr="00CA50D4">
              <w:rPr>
                <w:rFonts w:cs="Arial"/>
                <w:sz w:val="22"/>
                <w:szCs w:val="22"/>
                <w:lang w:val="es-CO" w:eastAsia="es-CO"/>
              </w:rPr>
              <w:t>Constitución Política</w:t>
            </w:r>
            <w:r w:rsidR="00CA50D4">
              <w:rPr>
                <w:rFonts w:cs="Arial"/>
                <w:sz w:val="22"/>
                <w:szCs w:val="22"/>
                <w:lang w:val="es-CO" w:eastAsia="es-CO"/>
              </w:rPr>
              <w:t xml:space="preserve">, de acuerdo con el cual corresponde al Presidente de la República ejercer la </w:t>
            </w:r>
            <w:r w:rsidR="00A279AE">
              <w:rPr>
                <w:rFonts w:cs="Arial"/>
                <w:sz w:val="22"/>
                <w:szCs w:val="22"/>
                <w:lang w:val="es-CO" w:eastAsia="es-CO"/>
              </w:rPr>
              <w:t>potestad</w:t>
            </w:r>
            <w:r w:rsidR="00CA50D4">
              <w:rPr>
                <w:rFonts w:cs="Arial"/>
                <w:sz w:val="22"/>
                <w:szCs w:val="22"/>
                <w:lang w:val="es-CO" w:eastAsia="es-CO"/>
              </w:rPr>
              <w:t xml:space="preserve"> reglamentaria, mediante la expedición de decreto</w:t>
            </w:r>
            <w:r w:rsidR="00713AA7">
              <w:rPr>
                <w:rFonts w:cs="Arial"/>
                <w:sz w:val="22"/>
                <w:szCs w:val="22"/>
                <w:lang w:val="es-CO" w:eastAsia="es-CO"/>
              </w:rPr>
              <w:t>s</w:t>
            </w:r>
            <w:r w:rsidR="00CA50D4">
              <w:rPr>
                <w:rFonts w:cs="Arial"/>
                <w:sz w:val="22"/>
                <w:szCs w:val="22"/>
                <w:lang w:val="es-CO" w:eastAsia="es-CO"/>
              </w:rPr>
              <w:t xml:space="preserve">, resoluciones u órdenes necesarias para la cumplida ejecución de las leyes. </w:t>
            </w:r>
          </w:p>
          <w:p w14:paraId="3E516367" w14:textId="77777777" w:rsidR="00CA50D4" w:rsidRPr="001876DD" w:rsidRDefault="00CA50D4" w:rsidP="00F445C5">
            <w:pPr>
              <w:ind w:left="1152" w:right="214"/>
              <w:jc w:val="both"/>
              <w:rPr>
                <w:rFonts w:cs="Arial"/>
                <w:sz w:val="22"/>
                <w:szCs w:val="22"/>
                <w:lang w:val="es-CO" w:eastAsia="es-CO"/>
              </w:rPr>
            </w:pPr>
          </w:p>
          <w:p w14:paraId="535F41C1" w14:textId="77777777" w:rsidR="001876DD" w:rsidRDefault="001876DD" w:rsidP="00F445C5">
            <w:pPr>
              <w:numPr>
                <w:ilvl w:val="0"/>
                <w:numId w:val="46"/>
              </w:numPr>
              <w:ind w:left="1152" w:right="214"/>
              <w:jc w:val="both"/>
              <w:rPr>
                <w:rFonts w:cs="Arial"/>
                <w:sz w:val="22"/>
                <w:szCs w:val="22"/>
                <w:lang w:val="es-CO" w:eastAsia="es-CO"/>
              </w:rPr>
            </w:pPr>
            <w:r w:rsidRPr="00B0747E">
              <w:rPr>
                <w:rFonts w:cs="Arial"/>
                <w:sz w:val="22"/>
                <w:szCs w:val="22"/>
                <w:lang w:val="es-CO" w:eastAsia="es-CO"/>
              </w:rPr>
              <w:t>Ley 2070 de 2020</w:t>
            </w:r>
            <w:r w:rsidR="00713AA7">
              <w:rPr>
                <w:rFonts w:cs="Arial"/>
                <w:sz w:val="22"/>
                <w:szCs w:val="22"/>
                <w:lang w:val="es-CO" w:eastAsia="es-CO"/>
              </w:rPr>
              <w:t xml:space="preserve">, “por la cual se dictan medidas para la Reactivación y Fortalecimiento del Sector Cultura, se crea el Fondo para la Promoción del Patrimonio, la Cultura, las Artes y la Creatividad – FONCULTURA, y se dictan otras disposiciones”. </w:t>
            </w:r>
          </w:p>
          <w:p w14:paraId="086A7311" w14:textId="77777777" w:rsidR="001876DD" w:rsidRDefault="001876DD" w:rsidP="00F445C5">
            <w:pPr>
              <w:ind w:left="926" w:right="214" w:hanging="283"/>
              <w:jc w:val="both"/>
              <w:rPr>
                <w:rFonts w:cs="Arial"/>
                <w:sz w:val="22"/>
                <w:szCs w:val="22"/>
                <w:lang w:val="es-CO" w:eastAsia="es-CO"/>
              </w:rPr>
            </w:pPr>
          </w:p>
          <w:p w14:paraId="76CD0081" w14:textId="77777777" w:rsidR="00795C6B" w:rsidRDefault="00795C6B" w:rsidP="00F445C5">
            <w:pPr>
              <w:ind w:left="494" w:right="214" w:hanging="283"/>
              <w:jc w:val="both"/>
              <w:rPr>
                <w:rFonts w:cs="Arial"/>
                <w:sz w:val="22"/>
                <w:szCs w:val="22"/>
                <w:lang w:val="es-CO" w:eastAsia="es-CO"/>
              </w:rPr>
            </w:pPr>
            <w:r>
              <w:rPr>
                <w:rFonts w:cs="Arial"/>
                <w:sz w:val="22"/>
                <w:szCs w:val="22"/>
                <w:lang w:val="es-CO" w:eastAsia="es-CO"/>
              </w:rPr>
              <w:t>3.2 Vigencia de la ley o norma reglamentada o desarrollada</w:t>
            </w:r>
          </w:p>
          <w:p w14:paraId="319950F2" w14:textId="77777777" w:rsidR="00795C6B" w:rsidRDefault="00795C6B" w:rsidP="00F445C5">
            <w:pPr>
              <w:ind w:left="494" w:right="214" w:hanging="283"/>
              <w:jc w:val="both"/>
              <w:rPr>
                <w:rFonts w:cs="Arial"/>
                <w:sz w:val="22"/>
                <w:szCs w:val="22"/>
                <w:lang w:val="es-CO" w:eastAsia="es-CO"/>
              </w:rPr>
            </w:pPr>
          </w:p>
          <w:p w14:paraId="61C325F5" w14:textId="7FC6064D" w:rsidR="001876DD" w:rsidRDefault="001876DD" w:rsidP="00F445C5">
            <w:pPr>
              <w:ind w:left="638" w:right="214"/>
              <w:jc w:val="both"/>
              <w:rPr>
                <w:rFonts w:cs="Arial"/>
                <w:sz w:val="22"/>
                <w:szCs w:val="22"/>
                <w:lang w:val="es-CO" w:eastAsia="es-CO"/>
              </w:rPr>
            </w:pPr>
            <w:r>
              <w:rPr>
                <w:rFonts w:cs="Arial"/>
                <w:sz w:val="22"/>
                <w:szCs w:val="22"/>
                <w:lang w:val="es-CO" w:eastAsia="es-CO"/>
              </w:rPr>
              <w:t xml:space="preserve">De acuerdo con el artículo </w:t>
            </w:r>
            <w:r w:rsidR="00713AA7">
              <w:rPr>
                <w:rFonts w:cs="Arial"/>
                <w:sz w:val="22"/>
                <w:szCs w:val="22"/>
                <w:lang w:val="es-CO" w:eastAsia="es-CO"/>
              </w:rPr>
              <w:t>19</w:t>
            </w:r>
            <w:r>
              <w:rPr>
                <w:rFonts w:cs="Arial"/>
                <w:sz w:val="22"/>
                <w:szCs w:val="22"/>
                <w:lang w:val="es-CO" w:eastAsia="es-CO"/>
              </w:rPr>
              <w:t xml:space="preserve"> de la Ley 2070 de 2020, </w:t>
            </w:r>
            <w:r w:rsidR="00255FB5">
              <w:rPr>
                <w:rFonts w:cs="Arial"/>
                <w:sz w:val="22"/>
                <w:szCs w:val="22"/>
                <w:lang w:val="es-CO" w:eastAsia="es-CO"/>
              </w:rPr>
              <w:t>e</w:t>
            </w:r>
            <w:r>
              <w:rPr>
                <w:rFonts w:cs="Arial"/>
                <w:sz w:val="22"/>
                <w:szCs w:val="22"/>
                <w:lang w:val="es-CO" w:eastAsia="es-CO"/>
              </w:rPr>
              <w:t>sta entr</w:t>
            </w:r>
            <w:r w:rsidR="00713AA7">
              <w:rPr>
                <w:rFonts w:cs="Arial"/>
                <w:sz w:val="22"/>
                <w:szCs w:val="22"/>
                <w:lang w:val="es-CO" w:eastAsia="es-CO"/>
              </w:rPr>
              <w:t xml:space="preserve">ó en vigencia a partir de la fecha de su sanción y publicación en el Diario Oficial. </w:t>
            </w:r>
            <w:r w:rsidR="008E2BCF">
              <w:rPr>
                <w:rFonts w:cs="Arial"/>
                <w:sz w:val="22"/>
                <w:szCs w:val="22"/>
                <w:lang w:val="es-CO" w:eastAsia="es-CO"/>
              </w:rPr>
              <w:t xml:space="preserve">La Ley fue publicada en el Diario Oficial No. 41.544 del 31 de diciembre de 2020. </w:t>
            </w:r>
          </w:p>
          <w:p w14:paraId="1694243D" w14:textId="77777777" w:rsidR="001876DD" w:rsidRDefault="001876DD" w:rsidP="00F445C5">
            <w:pPr>
              <w:ind w:left="494" w:right="214" w:hanging="283"/>
              <w:jc w:val="both"/>
              <w:rPr>
                <w:rFonts w:cs="Arial"/>
                <w:sz w:val="22"/>
                <w:szCs w:val="22"/>
                <w:lang w:val="es-CO" w:eastAsia="es-CO"/>
              </w:rPr>
            </w:pPr>
          </w:p>
          <w:p w14:paraId="4C3EF1C8" w14:textId="77777777" w:rsidR="00795C6B" w:rsidRPr="002C28AA" w:rsidRDefault="00795C6B" w:rsidP="00F445C5">
            <w:pPr>
              <w:ind w:left="494" w:right="214" w:hanging="283"/>
              <w:jc w:val="both"/>
              <w:rPr>
                <w:rFonts w:cs="Arial"/>
                <w:sz w:val="22"/>
                <w:szCs w:val="22"/>
                <w:lang w:val="pt-BR" w:eastAsia="es-CO"/>
              </w:rPr>
            </w:pPr>
            <w:r w:rsidRPr="002C28AA">
              <w:rPr>
                <w:rFonts w:cs="Arial"/>
                <w:sz w:val="22"/>
                <w:szCs w:val="22"/>
                <w:lang w:val="pt-BR" w:eastAsia="es-CO"/>
              </w:rPr>
              <w:t>3.3. Disposiciones deroga</w:t>
            </w:r>
            <w:r w:rsidR="008142B3" w:rsidRPr="002C28AA">
              <w:rPr>
                <w:rFonts w:cs="Arial"/>
                <w:sz w:val="22"/>
                <w:szCs w:val="22"/>
                <w:lang w:val="pt-BR" w:eastAsia="es-CO"/>
              </w:rPr>
              <w:t>da</w:t>
            </w:r>
            <w:r w:rsidRPr="002C28AA">
              <w:rPr>
                <w:rFonts w:cs="Arial"/>
                <w:sz w:val="22"/>
                <w:szCs w:val="22"/>
                <w:lang w:val="pt-BR" w:eastAsia="es-CO"/>
              </w:rPr>
              <w:t>s, subrogadas, modificadas, adicionadas</w:t>
            </w:r>
            <w:r w:rsidR="00D05B67" w:rsidRPr="002C28AA">
              <w:rPr>
                <w:rFonts w:cs="Arial"/>
                <w:sz w:val="22"/>
                <w:szCs w:val="22"/>
                <w:lang w:val="pt-BR" w:eastAsia="es-CO"/>
              </w:rPr>
              <w:t xml:space="preserve"> o sustituidas </w:t>
            </w:r>
          </w:p>
          <w:p w14:paraId="25CE5349" w14:textId="77777777" w:rsidR="00D05B67" w:rsidRPr="002C28AA" w:rsidRDefault="00D05B67" w:rsidP="00F445C5">
            <w:pPr>
              <w:ind w:left="494" w:right="214" w:hanging="283"/>
              <w:jc w:val="both"/>
              <w:rPr>
                <w:rFonts w:cs="Arial"/>
                <w:sz w:val="22"/>
                <w:szCs w:val="22"/>
                <w:lang w:val="pt-BR" w:eastAsia="es-CO"/>
              </w:rPr>
            </w:pPr>
          </w:p>
          <w:p w14:paraId="775DD1E3" w14:textId="0060D1A0" w:rsidR="001876DD" w:rsidRDefault="00674690" w:rsidP="00F445C5">
            <w:pPr>
              <w:ind w:left="710" w:right="214" w:hanging="2"/>
              <w:jc w:val="both"/>
              <w:rPr>
                <w:rFonts w:cs="Arial"/>
                <w:sz w:val="22"/>
                <w:szCs w:val="22"/>
                <w:lang w:val="es-CO" w:eastAsia="es-CO"/>
              </w:rPr>
            </w:pPr>
            <w:r>
              <w:rPr>
                <w:rFonts w:cs="Arial"/>
                <w:sz w:val="22"/>
                <w:szCs w:val="22"/>
                <w:lang w:val="es-CO" w:eastAsia="es-CO"/>
              </w:rPr>
              <w:t xml:space="preserve">El proyecto normativo pretende </w:t>
            </w:r>
            <w:r w:rsidR="00255FB5">
              <w:rPr>
                <w:rFonts w:cs="Arial"/>
                <w:sz w:val="22"/>
                <w:szCs w:val="22"/>
                <w:lang w:val="es-CO" w:eastAsia="es-CO"/>
              </w:rPr>
              <w:t>modificar varias disposiciones del Decreto 1080 de 2015</w:t>
            </w:r>
            <w:r>
              <w:rPr>
                <w:rFonts w:cs="Arial"/>
                <w:sz w:val="22"/>
                <w:szCs w:val="22"/>
                <w:lang w:val="es-CO" w:eastAsia="es-CO"/>
              </w:rPr>
              <w:t xml:space="preserve">. </w:t>
            </w:r>
          </w:p>
          <w:p w14:paraId="6549DE69" w14:textId="77777777" w:rsidR="001876DD" w:rsidRDefault="001876DD" w:rsidP="00F445C5">
            <w:pPr>
              <w:ind w:left="494" w:right="214" w:hanging="283"/>
              <w:jc w:val="both"/>
              <w:rPr>
                <w:rFonts w:cs="Arial"/>
                <w:sz w:val="22"/>
                <w:szCs w:val="22"/>
                <w:lang w:val="es-CO" w:eastAsia="es-CO"/>
              </w:rPr>
            </w:pPr>
          </w:p>
          <w:p w14:paraId="5DE6402E" w14:textId="77777777" w:rsidR="00D05B67" w:rsidRDefault="00D05B67" w:rsidP="00F445C5">
            <w:pPr>
              <w:ind w:left="638" w:right="214" w:hanging="427"/>
              <w:jc w:val="both"/>
              <w:rPr>
                <w:rFonts w:cs="Arial"/>
                <w:sz w:val="22"/>
                <w:szCs w:val="22"/>
                <w:lang w:val="es-CO" w:eastAsia="es-CO"/>
              </w:rPr>
            </w:pPr>
            <w:r>
              <w:rPr>
                <w:rFonts w:cs="Arial"/>
                <w:sz w:val="22"/>
                <w:szCs w:val="22"/>
                <w:lang w:val="es-CO" w:eastAsia="es-CO"/>
              </w:rPr>
              <w:t>3.4 Revisión y análisis de la jurisprudencia que tenga impacto o sea relevante para la expedición del proyecto normativo (órganos de cierre de cada jurisdicción)</w:t>
            </w:r>
          </w:p>
          <w:p w14:paraId="564DDB9C" w14:textId="77777777" w:rsidR="008E2BCF" w:rsidRDefault="008E2BCF" w:rsidP="00255FB5">
            <w:pPr>
              <w:jc w:val="both"/>
              <w:rPr>
                <w:rFonts w:cs="Arial"/>
                <w:sz w:val="22"/>
                <w:szCs w:val="22"/>
                <w:lang w:val="es-CO" w:eastAsia="es-CO"/>
              </w:rPr>
            </w:pPr>
          </w:p>
          <w:p w14:paraId="03EED2E2" w14:textId="77777777" w:rsidR="00340025" w:rsidRDefault="008E2BCF" w:rsidP="0023584E">
            <w:pPr>
              <w:ind w:left="494" w:hanging="283"/>
              <w:jc w:val="both"/>
              <w:rPr>
                <w:rFonts w:cs="Arial"/>
                <w:sz w:val="22"/>
                <w:szCs w:val="22"/>
                <w:lang w:val="es-CO" w:eastAsia="es-CO"/>
              </w:rPr>
            </w:pPr>
            <w:r>
              <w:rPr>
                <w:rFonts w:cs="Arial"/>
                <w:sz w:val="22"/>
                <w:szCs w:val="22"/>
                <w:lang w:val="es-CO" w:eastAsia="es-CO"/>
              </w:rPr>
              <w:t xml:space="preserve">   </w:t>
            </w:r>
            <w:r w:rsidR="008142B3">
              <w:rPr>
                <w:rFonts w:cs="Arial"/>
                <w:sz w:val="22"/>
                <w:szCs w:val="22"/>
                <w:lang w:val="es-CO" w:eastAsia="es-CO"/>
              </w:rPr>
              <w:t xml:space="preserve">  No hay procesos judiciales en curso relacionados con la ley 2070 de 2020, ni con </w:t>
            </w:r>
            <w:r w:rsidR="0023584E">
              <w:rPr>
                <w:rFonts w:cs="Arial"/>
                <w:sz w:val="22"/>
                <w:szCs w:val="22"/>
                <w:lang w:val="es-CO" w:eastAsia="es-CO"/>
              </w:rPr>
              <w:t>los aspectos que se propone adicionar a</w:t>
            </w:r>
            <w:r w:rsidR="008142B3">
              <w:rPr>
                <w:rFonts w:cs="Arial"/>
                <w:sz w:val="22"/>
                <w:szCs w:val="22"/>
                <w:lang w:val="es-CO" w:eastAsia="es-CO"/>
              </w:rPr>
              <w:t>l Decreto 1080 de 2015.</w:t>
            </w:r>
          </w:p>
          <w:p w14:paraId="7C1CC818" w14:textId="77777777" w:rsidR="0023584E" w:rsidRDefault="0023584E" w:rsidP="0023584E">
            <w:pPr>
              <w:ind w:left="494" w:hanging="283"/>
              <w:jc w:val="both"/>
              <w:rPr>
                <w:rFonts w:cs="Arial"/>
                <w:sz w:val="22"/>
                <w:szCs w:val="22"/>
                <w:lang w:val="es-CO" w:eastAsia="es-CO"/>
              </w:rPr>
            </w:pPr>
          </w:p>
          <w:p w14:paraId="7735300F" w14:textId="77777777" w:rsidR="00D05B67" w:rsidRDefault="00D05B67" w:rsidP="0075705D">
            <w:pPr>
              <w:ind w:left="494" w:hanging="283"/>
              <w:jc w:val="both"/>
              <w:rPr>
                <w:rFonts w:cs="Arial"/>
                <w:sz w:val="22"/>
                <w:szCs w:val="22"/>
                <w:lang w:val="es-CO" w:eastAsia="es-CO"/>
              </w:rPr>
            </w:pPr>
            <w:r>
              <w:rPr>
                <w:rFonts w:cs="Arial"/>
                <w:sz w:val="22"/>
                <w:szCs w:val="22"/>
                <w:lang w:val="es-CO" w:eastAsia="es-CO"/>
              </w:rPr>
              <w:t xml:space="preserve">3.5 Circunstancias jurídicas adicionales </w:t>
            </w:r>
          </w:p>
          <w:p w14:paraId="4E81ACA7" w14:textId="77777777" w:rsidR="00340025" w:rsidRDefault="00340025" w:rsidP="0075705D">
            <w:pPr>
              <w:ind w:left="494" w:hanging="283"/>
              <w:jc w:val="both"/>
              <w:rPr>
                <w:rFonts w:cs="Arial"/>
                <w:sz w:val="22"/>
                <w:szCs w:val="22"/>
                <w:lang w:val="es-CO" w:eastAsia="es-CO"/>
              </w:rPr>
            </w:pPr>
          </w:p>
          <w:p w14:paraId="5FC97096" w14:textId="77777777" w:rsidR="00340025" w:rsidRDefault="008E2BCF" w:rsidP="0075705D">
            <w:pPr>
              <w:ind w:left="494" w:hanging="283"/>
              <w:jc w:val="both"/>
              <w:rPr>
                <w:rFonts w:cs="Arial"/>
                <w:sz w:val="22"/>
                <w:szCs w:val="22"/>
                <w:lang w:val="es-CO" w:eastAsia="es-CO"/>
              </w:rPr>
            </w:pPr>
            <w:r>
              <w:rPr>
                <w:rFonts w:cs="Arial"/>
                <w:sz w:val="22"/>
                <w:szCs w:val="22"/>
                <w:lang w:val="es-CO" w:eastAsia="es-CO"/>
              </w:rPr>
              <w:t xml:space="preserve">     </w:t>
            </w:r>
            <w:r w:rsidR="00340025">
              <w:rPr>
                <w:rFonts w:cs="Arial"/>
                <w:sz w:val="22"/>
                <w:szCs w:val="22"/>
                <w:lang w:val="es-CO" w:eastAsia="es-CO"/>
              </w:rPr>
              <w:t xml:space="preserve">No </w:t>
            </w:r>
            <w:r w:rsidR="004F2EC9">
              <w:rPr>
                <w:rFonts w:cs="Arial"/>
                <w:sz w:val="22"/>
                <w:szCs w:val="22"/>
                <w:lang w:val="es-CO" w:eastAsia="es-CO"/>
              </w:rPr>
              <w:t xml:space="preserve">se evidencias circunstancias jurídicas adicionales. </w:t>
            </w:r>
            <w:r w:rsidR="00340025">
              <w:rPr>
                <w:rFonts w:cs="Arial"/>
                <w:sz w:val="22"/>
                <w:szCs w:val="22"/>
                <w:lang w:val="es-CO" w:eastAsia="es-CO"/>
              </w:rPr>
              <w:t xml:space="preserve"> </w:t>
            </w:r>
          </w:p>
          <w:p w14:paraId="4DF1163D" w14:textId="77777777" w:rsidR="00340025" w:rsidRDefault="00340025" w:rsidP="0075705D">
            <w:pPr>
              <w:ind w:left="494" w:hanging="283"/>
              <w:jc w:val="both"/>
              <w:rPr>
                <w:rFonts w:cs="Arial"/>
                <w:sz w:val="22"/>
                <w:szCs w:val="22"/>
                <w:lang w:val="es-CO" w:eastAsia="es-CO"/>
              </w:rPr>
            </w:pPr>
          </w:p>
          <w:p w14:paraId="34EF03A5" w14:textId="77777777" w:rsidR="00795C6B" w:rsidRPr="009F7CED" w:rsidRDefault="00795C6B" w:rsidP="00795C6B">
            <w:pPr>
              <w:pBdr>
                <w:top w:val="single" w:sz="4" w:space="1" w:color="auto"/>
                <w:left w:val="single" w:sz="4" w:space="4" w:color="auto"/>
                <w:bottom w:val="single" w:sz="4" w:space="1" w:color="auto"/>
                <w:right w:val="single" w:sz="4" w:space="4" w:color="auto"/>
              </w:pBdr>
              <w:jc w:val="both"/>
              <w:rPr>
                <w:rFonts w:cs="Arial"/>
                <w:sz w:val="22"/>
                <w:szCs w:val="22"/>
                <w:lang w:val="es-CO" w:eastAsia="es-CO"/>
              </w:rPr>
            </w:pPr>
          </w:p>
        </w:tc>
      </w:tr>
      <w:tr w:rsidR="00DF60FD" w:rsidRPr="009F7CED" w14:paraId="7A2E33FF" w14:textId="77777777" w:rsidTr="0075705D">
        <w:trPr>
          <w:trHeight w:val="925"/>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99299B9" w14:textId="77777777" w:rsidR="00843EFF" w:rsidRPr="009F7CED" w:rsidRDefault="00843EFF" w:rsidP="00A161B9">
            <w:pPr>
              <w:rPr>
                <w:rFonts w:cs="Arial"/>
                <w:b/>
                <w:color w:val="000000"/>
                <w:sz w:val="22"/>
                <w:szCs w:val="22"/>
              </w:rPr>
            </w:pPr>
          </w:p>
          <w:p w14:paraId="18201C49" w14:textId="77777777" w:rsidR="00DF60FD" w:rsidRPr="009F7CED" w:rsidRDefault="00DF60FD" w:rsidP="00D05B67">
            <w:pPr>
              <w:numPr>
                <w:ilvl w:val="0"/>
                <w:numId w:val="45"/>
              </w:numPr>
              <w:rPr>
                <w:rFonts w:cs="Arial"/>
                <w:b/>
                <w:color w:val="000000"/>
                <w:sz w:val="22"/>
                <w:szCs w:val="22"/>
              </w:rPr>
            </w:pPr>
            <w:r w:rsidRPr="009F7CED">
              <w:rPr>
                <w:rFonts w:cs="Arial"/>
                <w:b/>
                <w:color w:val="000000"/>
                <w:sz w:val="22"/>
                <w:szCs w:val="22"/>
              </w:rPr>
              <w:t xml:space="preserve">IMPACTO ECONÓMICO </w:t>
            </w:r>
            <w:r w:rsidR="00D05B67" w:rsidRPr="00D05B67">
              <w:rPr>
                <w:rFonts w:cs="Arial"/>
                <w:color w:val="000000"/>
                <w:sz w:val="22"/>
                <w:szCs w:val="22"/>
              </w:rPr>
              <w:t>(Si se requiere)</w:t>
            </w:r>
          </w:p>
          <w:p w14:paraId="22E9DA56" w14:textId="77777777" w:rsidR="008E2BCF" w:rsidRDefault="008E2BCF" w:rsidP="008A6F3F">
            <w:pPr>
              <w:pStyle w:val="Listavistosa-nfasis11"/>
              <w:jc w:val="both"/>
              <w:rPr>
                <w:rFonts w:ascii="Arial" w:hAnsi="Arial" w:cs="Arial"/>
                <w:i/>
                <w:color w:val="808080"/>
                <w:sz w:val="18"/>
              </w:rPr>
            </w:pPr>
          </w:p>
          <w:p w14:paraId="206FC0DC" w14:textId="68357FC2" w:rsidR="00255FB5" w:rsidRDefault="002A4C9F" w:rsidP="001D5B66">
            <w:pPr>
              <w:pStyle w:val="Listavistosa-nfasis11"/>
              <w:ind w:right="214"/>
              <w:jc w:val="both"/>
              <w:rPr>
                <w:rFonts w:ascii="Arial" w:hAnsi="Arial" w:cs="Arial"/>
              </w:rPr>
            </w:pPr>
            <w:r>
              <w:rPr>
                <w:rFonts w:ascii="Arial" w:hAnsi="Arial" w:cs="Arial"/>
              </w:rPr>
              <w:t xml:space="preserve">De acuerdo con lo establecido en el artículo 1º de la Ley 2070 de 2020, el objetivo de esta última es el desarrollo de medidas que permitan la reactivación y el fortalecimiento del sector cultura y de la economía creativa en todo el territorio nacional. </w:t>
            </w:r>
            <w:r w:rsidR="00255FB5">
              <w:rPr>
                <w:rFonts w:ascii="Arial" w:hAnsi="Arial" w:cs="Arial"/>
              </w:rPr>
              <w:t xml:space="preserve">Ahora bien, en tratandose de los recursos parafiscales que allí se señalan, estos no sufren ninguna variación, modificandose sólo aspectos netamente de procedimiento que no revisten mayores incrementos frente al tributo existente.  </w:t>
            </w:r>
          </w:p>
          <w:p w14:paraId="67732DCF" w14:textId="48B15376" w:rsidR="00255FB5" w:rsidRDefault="00255FB5" w:rsidP="001D5B66">
            <w:pPr>
              <w:pStyle w:val="Listavistosa-nfasis11"/>
              <w:ind w:right="214"/>
              <w:jc w:val="both"/>
              <w:rPr>
                <w:rFonts w:ascii="Arial" w:hAnsi="Arial" w:cs="Arial"/>
              </w:rPr>
            </w:pPr>
          </w:p>
          <w:p w14:paraId="55DBB9F8" w14:textId="1CDC928E" w:rsidR="00255FB5" w:rsidRPr="008A6F3F" w:rsidRDefault="00255FB5" w:rsidP="00255FB5">
            <w:pPr>
              <w:pStyle w:val="Listavistosa-nfasis11"/>
              <w:ind w:right="214"/>
              <w:jc w:val="both"/>
              <w:rPr>
                <w:rFonts w:ascii="Arial" w:hAnsi="Arial" w:cs="Arial"/>
              </w:rPr>
            </w:pPr>
            <w:r>
              <w:rPr>
                <w:rFonts w:ascii="Arial" w:hAnsi="Arial" w:cs="Arial"/>
              </w:rPr>
              <w:t>De hecho, se dan elementos o herramientas para que el recurso sea puesto en el Fondo Foncultura, cuando no medie una ejecución presupuestal por parte de las entidades territoriales, respecto de los amplios plazos de ejecución que señala la Ley.</w:t>
            </w:r>
          </w:p>
          <w:p w14:paraId="0069E977" w14:textId="6E4E5B35" w:rsidR="00F71E23" w:rsidRPr="008A6F3F" w:rsidRDefault="00F71E23" w:rsidP="001D5B66">
            <w:pPr>
              <w:pStyle w:val="Listavistosa-nfasis11"/>
              <w:ind w:right="214"/>
              <w:jc w:val="both"/>
              <w:rPr>
                <w:rFonts w:ascii="Arial" w:hAnsi="Arial" w:cs="Arial"/>
              </w:rPr>
            </w:pPr>
          </w:p>
        </w:tc>
      </w:tr>
      <w:tr w:rsidR="00DF60FD" w:rsidRPr="009F7CED" w14:paraId="75F222BD" w14:textId="77777777" w:rsidTr="0075705D">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8DBF90" w14:textId="77777777" w:rsidR="00843EFF" w:rsidRPr="009F7CED" w:rsidRDefault="00843EFF" w:rsidP="00A161B9">
            <w:pPr>
              <w:rPr>
                <w:rFonts w:cs="Arial"/>
                <w:b/>
                <w:color w:val="000000"/>
                <w:sz w:val="22"/>
                <w:szCs w:val="22"/>
              </w:rPr>
            </w:pPr>
          </w:p>
          <w:p w14:paraId="2DFADE31" w14:textId="77777777" w:rsidR="00DF60FD" w:rsidRPr="009F7CED" w:rsidRDefault="00795C6B" w:rsidP="00D05B67">
            <w:pPr>
              <w:numPr>
                <w:ilvl w:val="0"/>
                <w:numId w:val="45"/>
              </w:numPr>
              <w:rPr>
                <w:rFonts w:cs="Arial"/>
                <w:b/>
                <w:color w:val="000000"/>
                <w:sz w:val="22"/>
                <w:szCs w:val="22"/>
              </w:rPr>
            </w:pPr>
            <w:r>
              <w:rPr>
                <w:rFonts w:cs="Arial"/>
                <w:b/>
                <w:color w:val="000000"/>
                <w:sz w:val="22"/>
                <w:szCs w:val="22"/>
              </w:rPr>
              <w:t xml:space="preserve">VIABILIDAD O </w:t>
            </w:r>
            <w:r w:rsidR="00DF60FD" w:rsidRPr="009F7CED">
              <w:rPr>
                <w:rFonts w:cs="Arial"/>
                <w:b/>
                <w:color w:val="000000"/>
                <w:sz w:val="22"/>
                <w:szCs w:val="22"/>
              </w:rPr>
              <w:t xml:space="preserve">DISPONIBILIDAD PRESUPUESTAL </w:t>
            </w:r>
            <w:r w:rsidR="00D05B67" w:rsidRPr="00D05B67">
              <w:rPr>
                <w:rFonts w:cs="Arial"/>
                <w:color w:val="000000"/>
                <w:sz w:val="22"/>
                <w:szCs w:val="22"/>
              </w:rPr>
              <w:t>(Si se requiere)</w:t>
            </w:r>
          </w:p>
          <w:p w14:paraId="0C2AC057" w14:textId="77777777" w:rsidR="007A3C30" w:rsidRDefault="007A3C30" w:rsidP="008A6F3F">
            <w:pPr>
              <w:pStyle w:val="Listavistosa-nfasis11"/>
              <w:spacing w:after="0"/>
              <w:jc w:val="both"/>
              <w:rPr>
                <w:rFonts w:ascii="Arial" w:hAnsi="Arial" w:cs="Arial"/>
                <w:i/>
                <w:color w:val="808080"/>
                <w:sz w:val="18"/>
              </w:rPr>
            </w:pPr>
          </w:p>
          <w:p w14:paraId="5F218878" w14:textId="63EF556A" w:rsidR="00F445C5" w:rsidRDefault="00255FB5" w:rsidP="00F445C5">
            <w:pPr>
              <w:pStyle w:val="Listavistosa-nfasis11"/>
              <w:spacing w:after="0"/>
              <w:ind w:right="214"/>
              <w:jc w:val="both"/>
              <w:rPr>
                <w:rFonts w:ascii="Arial" w:hAnsi="Arial" w:cs="Arial"/>
              </w:rPr>
            </w:pPr>
            <w:r>
              <w:rPr>
                <w:rFonts w:ascii="Arial" w:hAnsi="Arial" w:cs="Arial"/>
              </w:rPr>
              <w:t>No aplica</w:t>
            </w:r>
            <w:r w:rsidR="001D5B66">
              <w:rPr>
                <w:rFonts w:ascii="Arial" w:hAnsi="Arial" w:cs="Arial"/>
              </w:rPr>
              <w:t xml:space="preserve">. </w:t>
            </w:r>
            <w:r>
              <w:rPr>
                <w:rFonts w:ascii="Arial" w:hAnsi="Arial" w:cs="Arial"/>
              </w:rPr>
              <w:t xml:space="preserve">Los recursos economicos de naturaleza parafiscal provienen de la Ley de Espectaculos Públicos. </w:t>
            </w:r>
          </w:p>
          <w:p w14:paraId="247D4CA5" w14:textId="77777777" w:rsidR="00696582" w:rsidRPr="00340025" w:rsidRDefault="00340025" w:rsidP="00F445C5">
            <w:pPr>
              <w:pStyle w:val="Listavistosa-nfasis11"/>
              <w:spacing w:after="0"/>
              <w:jc w:val="both"/>
              <w:rPr>
                <w:rFonts w:ascii="Arial" w:hAnsi="Arial" w:cs="Arial"/>
              </w:rPr>
            </w:pPr>
            <w:r w:rsidRPr="00340025">
              <w:rPr>
                <w:rFonts w:ascii="Arial" w:hAnsi="Arial" w:cs="Arial"/>
              </w:rPr>
              <w:t xml:space="preserve"> </w:t>
            </w:r>
          </w:p>
        </w:tc>
      </w:tr>
      <w:tr w:rsidR="00DF60FD" w:rsidRPr="009F7CED" w14:paraId="39124042" w14:textId="77777777" w:rsidTr="00F445C5">
        <w:trPr>
          <w:trHeight w:val="696"/>
        </w:trPr>
        <w:tc>
          <w:tcPr>
            <w:tcW w:w="10774" w:type="dxa"/>
            <w:gridSpan w:val="3"/>
            <w:tcBorders>
              <w:top w:val="single" w:sz="4" w:space="0" w:color="auto"/>
              <w:bottom w:val="single" w:sz="4" w:space="0" w:color="auto"/>
            </w:tcBorders>
            <w:shd w:val="clear" w:color="auto" w:fill="FFFFFF"/>
            <w:vAlign w:val="center"/>
          </w:tcPr>
          <w:p w14:paraId="652BB3D4" w14:textId="77777777" w:rsidR="0057324C" w:rsidRDefault="0057324C" w:rsidP="0057324C">
            <w:pPr>
              <w:jc w:val="both"/>
              <w:rPr>
                <w:rFonts w:cs="Arial"/>
                <w:b/>
                <w:color w:val="000000"/>
                <w:sz w:val="22"/>
                <w:szCs w:val="22"/>
              </w:rPr>
            </w:pPr>
          </w:p>
          <w:p w14:paraId="589EBFEE" w14:textId="77777777" w:rsidR="00DF60FD" w:rsidRPr="00340025" w:rsidRDefault="00DF60FD" w:rsidP="00D05B67">
            <w:pPr>
              <w:numPr>
                <w:ilvl w:val="0"/>
                <w:numId w:val="45"/>
              </w:numPr>
              <w:jc w:val="both"/>
              <w:rPr>
                <w:rFonts w:cs="Arial"/>
                <w:b/>
                <w:color w:val="000000"/>
                <w:sz w:val="22"/>
                <w:szCs w:val="22"/>
              </w:rPr>
            </w:pPr>
            <w:r w:rsidRPr="009F7CED">
              <w:rPr>
                <w:rFonts w:cs="Arial"/>
                <w:b/>
                <w:color w:val="000000"/>
                <w:sz w:val="22"/>
                <w:szCs w:val="22"/>
              </w:rPr>
              <w:t xml:space="preserve"> IMPACTO MEDIOAMBIENTAL O SOBRE EL PATRIMONIO CULTURAL DE LA NACIÓN </w:t>
            </w:r>
            <w:r w:rsidR="00D05B67" w:rsidRPr="00D05B67">
              <w:rPr>
                <w:rFonts w:cs="Arial"/>
                <w:color w:val="000000"/>
                <w:sz w:val="22"/>
                <w:szCs w:val="22"/>
              </w:rPr>
              <w:t>(Si se requiere)</w:t>
            </w:r>
          </w:p>
          <w:p w14:paraId="5D35E739" w14:textId="77777777" w:rsidR="00340025" w:rsidRDefault="00340025" w:rsidP="00340025">
            <w:pPr>
              <w:ind w:left="720"/>
              <w:jc w:val="both"/>
              <w:rPr>
                <w:rFonts w:cs="Arial"/>
                <w:b/>
                <w:color w:val="000000"/>
                <w:sz w:val="22"/>
                <w:szCs w:val="22"/>
              </w:rPr>
            </w:pPr>
          </w:p>
          <w:p w14:paraId="77F466C5" w14:textId="77777777" w:rsidR="00A30D3D" w:rsidRDefault="00FD18BC" w:rsidP="00A30D3D">
            <w:pPr>
              <w:ind w:left="720"/>
              <w:jc w:val="both"/>
              <w:rPr>
                <w:rFonts w:cs="Arial"/>
                <w:bCs/>
                <w:color w:val="000000"/>
                <w:sz w:val="22"/>
                <w:szCs w:val="22"/>
              </w:rPr>
            </w:pPr>
            <w:r>
              <w:rPr>
                <w:rFonts w:cs="Arial"/>
                <w:bCs/>
                <w:color w:val="000000"/>
                <w:sz w:val="22"/>
                <w:szCs w:val="22"/>
              </w:rPr>
              <w:t>El proyecto de decreto no tiene impacto negativo en materia ambiental</w:t>
            </w:r>
            <w:r w:rsidR="00A30D3D">
              <w:rPr>
                <w:rFonts w:cs="Arial"/>
                <w:bCs/>
                <w:color w:val="000000"/>
                <w:sz w:val="22"/>
                <w:szCs w:val="22"/>
              </w:rPr>
              <w:t xml:space="preserve">. </w:t>
            </w:r>
          </w:p>
          <w:p w14:paraId="76179770" w14:textId="77777777" w:rsidR="00A30D3D" w:rsidRDefault="00A30D3D" w:rsidP="00A30D3D">
            <w:pPr>
              <w:ind w:left="720"/>
              <w:jc w:val="both"/>
              <w:rPr>
                <w:rFonts w:cs="Arial"/>
                <w:bCs/>
                <w:color w:val="000000"/>
                <w:sz w:val="22"/>
                <w:szCs w:val="22"/>
              </w:rPr>
            </w:pPr>
          </w:p>
          <w:p w14:paraId="2AE54845" w14:textId="77777777" w:rsidR="00F445C5" w:rsidRPr="00F445C5" w:rsidRDefault="00F445C5" w:rsidP="00255FB5">
            <w:pPr>
              <w:ind w:left="720"/>
              <w:jc w:val="both"/>
              <w:rPr>
                <w:rFonts w:cs="Arial"/>
                <w:i/>
                <w:color w:val="000000"/>
                <w:sz w:val="22"/>
                <w:szCs w:val="22"/>
              </w:rPr>
            </w:pPr>
          </w:p>
        </w:tc>
      </w:tr>
      <w:tr w:rsidR="00DF60FD" w:rsidRPr="009F7CED" w14:paraId="58EC054C" w14:textId="77777777" w:rsidTr="00696582">
        <w:trPr>
          <w:trHeight w:val="317"/>
        </w:trPr>
        <w:tc>
          <w:tcPr>
            <w:tcW w:w="10774" w:type="dxa"/>
            <w:gridSpan w:val="3"/>
            <w:tcBorders>
              <w:top w:val="single" w:sz="4" w:space="0" w:color="auto"/>
              <w:bottom w:val="single" w:sz="4" w:space="0" w:color="auto"/>
            </w:tcBorders>
            <w:shd w:val="clear" w:color="auto" w:fill="FFFFFF"/>
            <w:vAlign w:val="center"/>
          </w:tcPr>
          <w:p w14:paraId="0C37EF82" w14:textId="77777777" w:rsidR="00D05B67" w:rsidRPr="009F7CED" w:rsidRDefault="00D05B67" w:rsidP="00696582">
            <w:pPr>
              <w:numPr>
                <w:ilvl w:val="0"/>
                <w:numId w:val="45"/>
              </w:numPr>
              <w:jc w:val="both"/>
              <w:rPr>
                <w:rFonts w:cs="Arial"/>
                <w:sz w:val="22"/>
                <w:szCs w:val="22"/>
              </w:rPr>
            </w:pPr>
            <w:r w:rsidRPr="00D05B67">
              <w:rPr>
                <w:rFonts w:cs="Arial"/>
                <w:b/>
                <w:sz w:val="22"/>
                <w:szCs w:val="22"/>
              </w:rPr>
              <w:t>ESTUDIOS TÉCNICOS QUE SUSTENTEN EL PROYECTO NORMATIVO</w:t>
            </w:r>
            <w:r>
              <w:rPr>
                <w:rFonts w:cs="Arial"/>
                <w:sz w:val="22"/>
                <w:szCs w:val="22"/>
              </w:rPr>
              <w:t xml:space="preserve"> (Si cuenta con ellos)</w:t>
            </w:r>
            <w:r w:rsidR="00696582" w:rsidRPr="009F7CED">
              <w:rPr>
                <w:rFonts w:cs="Arial"/>
                <w:sz w:val="22"/>
                <w:szCs w:val="22"/>
              </w:rPr>
              <w:t xml:space="preserve"> </w:t>
            </w:r>
          </w:p>
        </w:tc>
      </w:tr>
      <w:tr w:rsidR="00DF60FD" w:rsidRPr="009F7CED" w14:paraId="5AE3A1F4"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719421DA" w14:textId="77777777" w:rsidR="00843EFF" w:rsidRPr="00A226CA" w:rsidRDefault="00A226CA" w:rsidP="00A161B9">
            <w:pPr>
              <w:rPr>
                <w:rFonts w:cs="Arial"/>
                <w:color w:val="000000"/>
                <w:sz w:val="22"/>
                <w:szCs w:val="22"/>
              </w:rPr>
            </w:pPr>
            <w:r w:rsidRPr="00A226CA">
              <w:rPr>
                <w:rFonts w:cs="Arial"/>
                <w:color w:val="000000"/>
                <w:sz w:val="22"/>
                <w:szCs w:val="22"/>
              </w:rPr>
              <w:t xml:space="preserve">           No aplica. </w:t>
            </w:r>
          </w:p>
        </w:tc>
      </w:tr>
      <w:tr w:rsidR="00DF60FD" w:rsidRPr="009F7CED" w14:paraId="5C5C603B"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69C8EDEC" w14:textId="77777777" w:rsidR="00DF60FD" w:rsidRPr="009F7CED" w:rsidRDefault="00DF60FD" w:rsidP="00F55DC4">
            <w:pPr>
              <w:jc w:val="both"/>
              <w:rPr>
                <w:rFonts w:cs="Arial"/>
                <w:sz w:val="22"/>
                <w:szCs w:val="22"/>
              </w:rPr>
            </w:pPr>
          </w:p>
        </w:tc>
      </w:tr>
      <w:tr w:rsidR="00DF60FD" w:rsidRPr="009F7CED" w14:paraId="05F5CA72"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5EE4AE0B" w14:textId="77777777" w:rsidR="00DF60FD" w:rsidRPr="009F7CED" w:rsidRDefault="00DF60FD" w:rsidP="00A161B9">
            <w:pPr>
              <w:rPr>
                <w:rFonts w:cs="Arial"/>
                <w:color w:val="996633"/>
                <w:sz w:val="22"/>
                <w:szCs w:val="22"/>
              </w:rPr>
            </w:pPr>
          </w:p>
        </w:tc>
      </w:tr>
      <w:tr w:rsidR="00DF60FD" w:rsidRPr="009F7CED" w14:paraId="394D0FD5"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416420DA" w14:textId="77777777" w:rsidR="00DF60FD" w:rsidRPr="009F7CED" w:rsidRDefault="00DF60FD" w:rsidP="00F55DC4">
            <w:pPr>
              <w:jc w:val="both"/>
              <w:rPr>
                <w:rFonts w:cs="Arial"/>
                <w:sz w:val="22"/>
                <w:szCs w:val="22"/>
              </w:rPr>
            </w:pPr>
          </w:p>
        </w:tc>
      </w:tr>
      <w:tr w:rsidR="00DF60FD" w:rsidRPr="009F7CED" w14:paraId="2E9E36E2"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5C65208A" w14:textId="77777777" w:rsidR="00DF60FD" w:rsidRPr="009F7CED" w:rsidRDefault="00DF60FD" w:rsidP="00C7294E">
            <w:pPr>
              <w:jc w:val="center"/>
              <w:rPr>
                <w:rFonts w:cs="Arial"/>
                <w:sz w:val="22"/>
                <w:szCs w:val="22"/>
              </w:rPr>
            </w:pPr>
          </w:p>
        </w:tc>
      </w:tr>
      <w:tr w:rsidR="00DF60FD" w:rsidRPr="009F7CED" w14:paraId="1C08149F"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06AC5366" w14:textId="77777777" w:rsidR="00DF60FD" w:rsidRPr="009F7CED" w:rsidRDefault="00DF60FD" w:rsidP="00843EFF">
            <w:pPr>
              <w:jc w:val="center"/>
              <w:rPr>
                <w:rFonts w:cs="Arial"/>
                <w:sz w:val="22"/>
                <w:szCs w:val="22"/>
                <w:u w:val="single"/>
              </w:rPr>
            </w:pPr>
          </w:p>
        </w:tc>
      </w:tr>
      <w:tr w:rsidR="00DF60FD" w:rsidRPr="00D965B1" w14:paraId="4C2F8A6A" w14:textId="77777777" w:rsidTr="00696582">
        <w:trPr>
          <w:trHeight w:val="416"/>
        </w:trPr>
        <w:tc>
          <w:tcPr>
            <w:tcW w:w="10774" w:type="dxa"/>
            <w:gridSpan w:val="3"/>
            <w:tcBorders>
              <w:top w:val="single" w:sz="4" w:space="0" w:color="auto"/>
              <w:bottom w:val="single" w:sz="4" w:space="0" w:color="auto"/>
            </w:tcBorders>
            <w:shd w:val="clear" w:color="auto" w:fill="5B8AFF"/>
            <w:vAlign w:val="center"/>
          </w:tcPr>
          <w:p w14:paraId="7D0BE3CF" w14:textId="77777777" w:rsidR="00F55DC4" w:rsidRPr="00D965B1" w:rsidRDefault="00DF60FD" w:rsidP="00696582">
            <w:pPr>
              <w:jc w:val="center"/>
              <w:rPr>
                <w:rFonts w:cs="Arial"/>
                <w:color w:val="FFFFFF"/>
                <w:sz w:val="22"/>
                <w:szCs w:val="22"/>
              </w:rPr>
            </w:pPr>
            <w:r w:rsidRPr="00D965B1">
              <w:rPr>
                <w:rFonts w:cs="Arial"/>
                <w:b/>
                <w:color w:val="FFFFFF"/>
                <w:sz w:val="22"/>
                <w:szCs w:val="22"/>
              </w:rPr>
              <w:t>ANEXOS</w:t>
            </w:r>
            <w:r w:rsidR="00D05B67" w:rsidRPr="00D965B1">
              <w:rPr>
                <w:rFonts w:cs="Arial"/>
                <w:b/>
                <w:color w:val="FFFFFF"/>
                <w:sz w:val="22"/>
                <w:szCs w:val="22"/>
              </w:rPr>
              <w:t>:</w:t>
            </w:r>
            <w:r w:rsidR="00696582" w:rsidRPr="00D965B1">
              <w:rPr>
                <w:rFonts w:cs="Arial"/>
                <w:color w:val="FFFFFF"/>
                <w:sz w:val="22"/>
                <w:szCs w:val="22"/>
              </w:rPr>
              <w:t xml:space="preserve"> </w:t>
            </w:r>
          </w:p>
        </w:tc>
      </w:tr>
      <w:tr w:rsidR="00D05B67" w:rsidRPr="009F7CED" w14:paraId="349C4232"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56DDD50E" w14:textId="77777777" w:rsidR="00D05B67" w:rsidRPr="000B64F5" w:rsidRDefault="00D05B67" w:rsidP="00D05B67">
            <w:pPr>
              <w:jc w:val="both"/>
              <w:rPr>
                <w:rFonts w:cs="Arial"/>
                <w:sz w:val="22"/>
                <w:szCs w:val="22"/>
              </w:rPr>
            </w:pPr>
            <w:r w:rsidRPr="000B64F5">
              <w:rPr>
                <w:rFonts w:cs="Arial"/>
                <w:sz w:val="22"/>
                <w:szCs w:val="22"/>
              </w:rPr>
              <w:t xml:space="preserve">Certificación de cumplimiento de requisitos de consulta, publicidad y de incorporación en la agenda regulatoria </w:t>
            </w:r>
          </w:p>
          <w:p w14:paraId="17435E0B" w14:textId="77777777" w:rsidR="00D05B67" w:rsidRPr="00A226CA" w:rsidRDefault="00D05B67" w:rsidP="00D05B67">
            <w:pPr>
              <w:jc w:val="both"/>
              <w:rPr>
                <w:rFonts w:cs="Arial"/>
                <w:i/>
                <w:color w:val="808080"/>
                <w:sz w:val="22"/>
                <w:szCs w:val="22"/>
                <w:highlight w:val="yellow"/>
              </w:rPr>
            </w:pPr>
            <w:r w:rsidRPr="000B64F5">
              <w:rPr>
                <w:rFonts w:cs="Arial"/>
                <w:i/>
                <w:color w:val="808080"/>
                <w:szCs w:val="22"/>
              </w:rPr>
              <w:t>(Firmada por el servidor público competente –entidad originadora)</w:t>
            </w:r>
          </w:p>
        </w:tc>
        <w:tc>
          <w:tcPr>
            <w:tcW w:w="3119" w:type="dxa"/>
            <w:tcBorders>
              <w:top w:val="single" w:sz="4" w:space="0" w:color="auto"/>
              <w:left w:val="single" w:sz="4" w:space="0" w:color="auto"/>
              <w:bottom w:val="single" w:sz="4" w:space="0" w:color="auto"/>
            </w:tcBorders>
            <w:shd w:val="clear" w:color="auto" w:fill="FFFFFF"/>
            <w:vAlign w:val="center"/>
          </w:tcPr>
          <w:p w14:paraId="0E7B8B50" w14:textId="77777777" w:rsidR="00D05B67" w:rsidRPr="00CD730B" w:rsidRDefault="000B64F5" w:rsidP="000B64F5">
            <w:pPr>
              <w:rPr>
                <w:rFonts w:cs="Arial"/>
                <w:i/>
                <w:color w:val="FF0000"/>
                <w:sz w:val="22"/>
                <w:szCs w:val="22"/>
                <w:highlight w:val="yellow"/>
              </w:rPr>
            </w:pPr>
            <w:r w:rsidRPr="005F30C3">
              <w:rPr>
                <w:rFonts w:cs="Arial"/>
                <w:i/>
                <w:color w:val="808080"/>
                <w:sz w:val="22"/>
                <w:szCs w:val="22"/>
              </w:rPr>
              <w:t>(Marque con una x)</w:t>
            </w:r>
          </w:p>
        </w:tc>
      </w:tr>
      <w:tr w:rsidR="00D05B67" w:rsidRPr="009F7CED" w14:paraId="03A91F3F"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69A4529A" w14:textId="77777777" w:rsidR="00D05B67" w:rsidRDefault="00D05B67" w:rsidP="00D05B67">
            <w:pPr>
              <w:jc w:val="both"/>
              <w:rPr>
                <w:rFonts w:cs="Arial"/>
                <w:sz w:val="22"/>
                <w:szCs w:val="22"/>
              </w:rPr>
            </w:pPr>
            <w:r>
              <w:rPr>
                <w:rFonts w:cs="Arial"/>
                <w:sz w:val="22"/>
                <w:szCs w:val="22"/>
              </w:rPr>
              <w:lastRenderedPageBreak/>
              <w:t>Concepto</w:t>
            </w:r>
            <w:r w:rsidR="005F30C3">
              <w:rPr>
                <w:rFonts w:cs="Arial"/>
                <w:sz w:val="22"/>
                <w:szCs w:val="22"/>
              </w:rPr>
              <w:t>(s)</w:t>
            </w:r>
            <w:r>
              <w:rPr>
                <w:rFonts w:cs="Arial"/>
                <w:sz w:val="22"/>
                <w:szCs w:val="22"/>
              </w:rPr>
              <w:t xml:space="preserve"> de Min</w:t>
            </w:r>
            <w:r w:rsidR="005F30C3">
              <w:rPr>
                <w:rFonts w:cs="Arial"/>
                <w:sz w:val="22"/>
                <w:szCs w:val="22"/>
              </w:rPr>
              <w:t>isterio de</w:t>
            </w:r>
            <w:r>
              <w:rPr>
                <w:rFonts w:cs="Arial"/>
                <w:sz w:val="22"/>
                <w:szCs w:val="22"/>
              </w:rPr>
              <w:t xml:space="preserve"> Comercio</w:t>
            </w:r>
            <w:r w:rsidR="005F30C3">
              <w:rPr>
                <w:rFonts w:cs="Arial"/>
                <w:sz w:val="22"/>
                <w:szCs w:val="22"/>
              </w:rPr>
              <w:t>, Industria y Turismo</w:t>
            </w:r>
          </w:p>
          <w:p w14:paraId="6001C100" w14:textId="77777777" w:rsidR="00D05B67" w:rsidRPr="00084B49" w:rsidRDefault="005F30C3" w:rsidP="00D05B67">
            <w:pPr>
              <w:jc w:val="both"/>
              <w:rPr>
                <w:rFonts w:cs="Arial"/>
                <w:i/>
                <w:color w:val="808080"/>
                <w:sz w:val="22"/>
                <w:szCs w:val="22"/>
              </w:rPr>
            </w:pPr>
            <w:r w:rsidRPr="00084B49">
              <w:rPr>
                <w:rFonts w:cs="Arial"/>
                <w:i/>
                <w:color w:val="808080"/>
                <w:szCs w:val="22"/>
              </w:rPr>
              <w:t>(Cuando se trate de un proyecto de reglamento técnico o de procedimientos de evaluación de conformidad)</w:t>
            </w:r>
          </w:p>
        </w:tc>
        <w:tc>
          <w:tcPr>
            <w:tcW w:w="3119" w:type="dxa"/>
            <w:tcBorders>
              <w:top w:val="single" w:sz="4" w:space="0" w:color="auto"/>
              <w:left w:val="single" w:sz="4" w:space="0" w:color="auto"/>
              <w:bottom w:val="single" w:sz="4" w:space="0" w:color="auto"/>
            </w:tcBorders>
            <w:shd w:val="clear" w:color="auto" w:fill="FFFFFF"/>
            <w:vAlign w:val="center"/>
          </w:tcPr>
          <w:p w14:paraId="3E55FBC9" w14:textId="77777777" w:rsidR="00D05B67" w:rsidRDefault="000B64F5" w:rsidP="00D05B67">
            <w:pPr>
              <w:jc w:val="both"/>
              <w:rPr>
                <w:rFonts w:cs="Arial"/>
                <w:sz w:val="22"/>
                <w:szCs w:val="22"/>
              </w:rPr>
            </w:pPr>
            <w:r>
              <w:rPr>
                <w:rFonts w:cs="Arial"/>
                <w:i/>
                <w:color w:val="808080"/>
                <w:sz w:val="22"/>
                <w:szCs w:val="22"/>
              </w:rPr>
              <w:t>No es reglamento técnico o procedimiento de evaluación de conformidad</w:t>
            </w:r>
          </w:p>
        </w:tc>
      </w:tr>
      <w:tr w:rsidR="005F30C3" w:rsidRPr="009F7CED" w14:paraId="3BB69DE0"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0A206378" w14:textId="77777777" w:rsidR="005F30C3" w:rsidRDefault="005F30C3" w:rsidP="00D05B67">
            <w:pPr>
              <w:jc w:val="both"/>
              <w:rPr>
                <w:rFonts w:cs="Arial"/>
                <w:sz w:val="22"/>
                <w:szCs w:val="22"/>
              </w:rPr>
            </w:pPr>
            <w:r>
              <w:rPr>
                <w:rFonts w:cs="Arial"/>
                <w:sz w:val="22"/>
                <w:szCs w:val="22"/>
              </w:rPr>
              <w:t xml:space="preserve">Informe de observaciones y respuestas </w:t>
            </w:r>
          </w:p>
          <w:p w14:paraId="1794B32F" w14:textId="77777777" w:rsidR="005F30C3" w:rsidRPr="00084B49" w:rsidRDefault="005F30C3" w:rsidP="00D05B67">
            <w:pPr>
              <w:jc w:val="both"/>
              <w:rPr>
                <w:rFonts w:cs="Arial"/>
                <w:i/>
                <w:color w:val="808080"/>
                <w:sz w:val="22"/>
                <w:szCs w:val="22"/>
              </w:rPr>
            </w:pPr>
            <w:r w:rsidRPr="00084B49">
              <w:rPr>
                <w:rFonts w:cs="Arial"/>
                <w:i/>
                <w:color w:val="808080"/>
                <w:szCs w:val="22"/>
              </w:rPr>
              <w:t>(Análisis del informe con la evaluación de las observaciones de los ciudadanos y grupos de interés sobre el proyecto normativo)</w:t>
            </w:r>
          </w:p>
        </w:tc>
        <w:tc>
          <w:tcPr>
            <w:tcW w:w="3119" w:type="dxa"/>
            <w:tcBorders>
              <w:top w:val="single" w:sz="4" w:space="0" w:color="auto"/>
              <w:left w:val="single" w:sz="4" w:space="0" w:color="auto"/>
              <w:bottom w:val="single" w:sz="4" w:space="0" w:color="auto"/>
            </w:tcBorders>
            <w:shd w:val="clear" w:color="auto" w:fill="FFFFFF"/>
            <w:vAlign w:val="center"/>
          </w:tcPr>
          <w:p w14:paraId="3EAADB94" w14:textId="77777777" w:rsidR="005F30C3" w:rsidRDefault="005F30C3" w:rsidP="00D05B67">
            <w:pPr>
              <w:jc w:val="both"/>
              <w:rPr>
                <w:rFonts w:cs="Arial"/>
                <w:sz w:val="22"/>
                <w:szCs w:val="22"/>
              </w:rPr>
            </w:pPr>
            <w:r w:rsidRPr="005F30C3">
              <w:rPr>
                <w:rFonts w:cs="Arial"/>
                <w:i/>
                <w:color w:val="808080"/>
                <w:sz w:val="22"/>
                <w:szCs w:val="22"/>
              </w:rPr>
              <w:t>(Marque con una x)</w:t>
            </w:r>
          </w:p>
        </w:tc>
      </w:tr>
      <w:tr w:rsidR="005F30C3" w:rsidRPr="009F7CED" w14:paraId="02CF3B0A"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67D35D6F" w14:textId="77777777" w:rsidR="005F30C3" w:rsidRDefault="005F30C3" w:rsidP="00D05B67">
            <w:pPr>
              <w:jc w:val="both"/>
              <w:rPr>
                <w:rFonts w:cs="Arial"/>
                <w:sz w:val="22"/>
                <w:szCs w:val="22"/>
              </w:rPr>
            </w:pPr>
            <w:r>
              <w:rPr>
                <w:rFonts w:cs="Arial"/>
                <w:sz w:val="22"/>
                <w:szCs w:val="22"/>
              </w:rPr>
              <w:t>Concepto de Abogacía de la Competencia de la Superintendencia de Industria y Comercio</w:t>
            </w:r>
          </w:p>
          <w:p w14:paraId="32B45AF8" w14:textId="77777777" w:rsidR="005F30C3" w:rsidRPr="00084B49" w:rsidRDefault="005F30C3" w:rsidP="00D05B67">
            <w:pPr>
              <w:jc w:val="both"/>
              <w:rPr>
                <w:rFonts w:cs="Arial"/>
                <w:i/>
                <w:color w:val="808080"/>
                <w:sz w:val="22"/>
                <w:szCs w:val="22"/>
              </w:rPr>
            </w:pPr>
            <w:r w:rsidRPr="00084B49">
              <w:rPr>
                <w:rFonts w:cs="Arial"/>
                <w:i/>
                <w:color w:val="808080"/>
                <w:szCs w:val="22"/>
              </w:rPr>
              <w:t>(Cuando los proyectos normativos tengan incidencia en la libre competencia de los mercados)</w:t>
            </w:r>
          </w:p>
        </w:tc>
        <w:tc>
          <w:tcPr>
            <w:tcW w:w="3119" w:type="dxa"/>
            <w:tcBorders>
              <w:top w:val="single" w:sz="4" w:space="0" w:color="auto"/>
              <w:left w:val="single" w:sz="4" w:space="0" w:color="auto"/>
              <w:bottom w:val="single" w:sz="4" w:space="0" w:color="auto"/>
            </w:tcBorders>
            <w:shd w:val="clear" w:color="auto" w:fill="FFFFFF"/>
            <w:vAlign w:val="center"/>
          </w:tcPr>
          <w:p w14:paraId="4C12A84C" w14:textId="77777777" w:rsidR="005F30C3" w:rsidRDefault="000B64F5" w:rsidP="00D05B67">
            <w:pPr>
              <w:jc w:val="both"/>
              <w:rPr>
                <w:rFonts w:cs="Arial"/>
                <w:sz w:val="22"/>
                <w:szCs w:val="22"/>
              </w:rPr>
            </w:pPr>
            <w:r>
              <w:rPr>
                <w:rFonts w:cs="Arial"/>
                <w:i/>
                <w:color w:val="808080"/>
                <w:sz w:val="22"/>
                <w:szCs w:val="22"/>
              </w:rPr>
              <w:t>No tiene incidencia en libre competencia de los mercados</w:t>
            </w:r>
          </w:p>
        </w:tc>
      </w:tr>
      <w:tr w:rsidR="005F30C3" w:rsidRPr="002C28AA" w14:paraId="6A7ACE97"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6318906C" w14:textId="77777777" w:rsidR="005F30C3" w:rsidRDefault="005F30C3" w:rsidP="00D05B67">
            <w:pPr>
              <w:jc w:val="both"/>
              <w:rPr>
                <w:rFonts w:cs="Arial"/>
                <w:sz w:val="22"/>
                <w:szCs w:val="22"/>
              </w:rPr>
            </w:pPr>
            <w:r>
              <w:rPr>
                <w:rFonts w:cs="Arial"/>
                <w:sz w:val="22"/>
                <w:szCs w:val="22"/>
              </w:rPr>
              <w:t>Concepto de aprobación nuevos trámites del Departamento Administrativo de la Función Pública</w:t>
            </w:r>
          </w:p>
          <w:p w14:paraId="40697C5E" w14:textId="77777777" w:rsidR="005F30C3" w:rsidRDefault="005F30C3" w:rsidP="00D05B67">
            <w:pPr>
              <w:jc w:val="both"/>
              <w:rPr>
                <w:rFonts w:cs="Arial"/>
                <w:sz w:val="22"/>
                <w:szCs w:val="22"/>
              </w:rPr>
            </w:pPr>
            <w:r w:rsidRPr="00084B49">
              <w:rPr>
                <w:rFonts w:cs="Arial"/>
                <w:i/>
                <w:color w:val="808080"/>
                <w:szCs w:val="22"/>
              </w:rPr>
              <w:t>(Cuando el proyecto normativo adopte o modifique un trámite)</w:t>
            </w:r>
          </w:p>
        </w:tc>
        <w:tc>
          <w:tcPr>
            <w:tcW w:w="3119" w:type="dxa"/>
            <w:tcBorders>
              <w:top w:val="single" w:sz="4" w:space="0" w:color="auto"/>
              <w:left w:val="single" w:sz="4" w:space="0" w:color="auto"/>
              <w:bottom w:val="single" w:sz="4" w:space="0" w:color="auto"/>
            </w:tcBorders>
            <w:shd w:val="clear" w:color="auto" w:fill="FFFFFF"/>
            <w:vAlign w:val="center"/>
          </w:tcPr>
          <w:p w14:paraId="29D4F9AB" w14:textId="77777777" w:rsidR="005F30C3" w:rsidRPr="002C28AA" w:rsidRDefault="000B64F5" w:rsidP="00D05B67">
            <w:pPr>
              <w:jc w:val="both"/>
              <w:rPr>
                <w:rFonts w:cs="Arial"/>
                <w:sz w:val="22"/>
                <w:szCs w:val="22"/>
                <w:lang w:val="pt-BR"/>
              </w:rPr>
            </w:pPr>
            <w:r w:rsidRPr="002C28AA">
              <w:rPr>
                <w:rFonts w:cs="Arial"/>
                <w:i/>
                <w:color w:val="808080"/>
                <w:sz w:val="22"/>
                <w:szCs w:val="22"/>
                <w:lang w:val="pt-BR"/>
              </w:rPr>
              <w:t xml:space="preserve">No adopta o modifica </w:t>
            </w:r>
            <w:proofErr w:type="spellStart"/>
            <w:r w:rsidRPr="002C28AA">
              <w:rPr>
                <w:rFonts w:cs="Arial"/>
                <w:i/>
                <w:color w:val="808080"/>
                <w:sz w:val="22"/>
                <w:szCs w:val="22"/>
                <w:lang w:val="pt-BR"/>
              </w:rPr>
              <w:t>trámite</w:t>
            </w:r>
            <w:proofErr w:type="spellEnd"/>
          </w:p>
        </w:tc>
      </w:tr>
      <w:tr w:rsidR="005F30C3" w:rsidRPr="009F7CED" w14:paraId="3F2AF021"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04545CE9" w14:textId="77777777" w:rsidR="005F30C3" w:rsidRDefault="005F30C3" w:rsidP="00084B49">
            <w:pPr>
              <w:jc w:val="both"/>
              <w:rPr>
                <w:rFonts w:cs="Arial"/>
                <w:sz w:val="22"/>
                <w:szCs w:val="22"/>
              </w:rPr>
            </w:pPr>
            <w:r>
              <w:rPr>
                <w:rFonts w:cs="Arial"/>
                <w:sz w:val="22"/>
                <w:szCs w:val="22"/>
              </w:rPr>
              <w:t xml:space="preserve">Otro </w:t>
            </w:r>
          </w:p>
          <w:p w14:paraId="337D1942" w14:textId="77777777" w:rsidR="005F30C3" w:rsidRDefault="005F30C3" w:rsidP="00084B49">
            <w:pPr>
              <w:jc w:val="both"/>
              <w:rPr>
                <w:rFonts w:cs="Arial"/>
                <w:sz w:val="22"/>
                <w:szCs w:val="22"/>
              </w:rPr>
            </w:pPr>
            <w:r w:rsidRPr="00084B49">
              <w:rPr>
                <w:rFonts w:cs="Arial"/>
                <w:i/>
                <w:color w:val="808080"/>
                <w:szCs w:val="22"/>
              </w:rPr>
              <w:t>(Cualquier otro aspecto que la entidad originadora de la norma considere relevante o de importancia)</w:t>
            </w:r>
          </w:p>
        </w:tc>
        <w:tc>
          <w:tcPr>
            <w:tcW w:w="3119" w:type="dxa"/>
            <w:tcBorders>
              <w:top w:val="single" w:sz="4" w:space="0" w:color="auto"/>
              <w:left w:val="single" w:sz="4" w:space="0" w:color="auto"/>
              <w:bottom w:val="single" w:sz="4" w:space="0" w:color="auto"/>
            </w:tcBorders>
            <w:shd w:val="clear" w:color="auto" w:fill="FFFFFF"/>
            <w:vAlign w:val="center"/>
          </w:tcPr>
          <w:p w14:paraId="613EBECF" w14:textId="77777777" w:rsidR="005F30C3" w:rsidRDefault="005F30C3" w:rsidP="00D05B67">
            <w:pPr>
              <w:jc w:val="both"/>
              <w:rPr>
                <w:rFonts w:cs="Arial"/>
                <w:sz w:val="22"/>
                <w:szCs w:val="22"/>
              </w:rPr>
            </w:pPr>
            <w:r w:rsidRPr="005F30C3">
              <w:rPr>
                <w:rFonts w:cs="Arial"/>
                <w:i/>
                <w:color w:val="808080"/>
                <w:sz w:val="22"/>
                <w:szCs w:val="22"/>
              </w:rPr>
              <w:t>(Marque con una x)</w:t>
            </w:r>
          </w:p>
        </w:tc>
      </w:tr>
    </w:tbl>
    <w:p w14:paraId="6D4AEF29" w14:textId="77777777" w:rsidR="00301DC2" w:rsidRPr="009F7CED" w:rsidRDefault="00301DC2" w:rsidP="00587695">
      <w:pPr>
        <w:ind w:right="-377"/>
        <w:jc w:val="both"/>
        <w:rPr>
          <w:rFonts w:cs="Arial"/>
          <w:sz w:val="22"/>
          <w:szCs w:val="22"/>
        </w:rPr>
      </w:pPr>
    </w:p>
    <w:p w14:paraId="6EC5FB8A" w14:textId="77777777" w:rsidR="00B66D03" w:rsidRPr="00D05B67" w:rsidRDefault="000B30A6" w:rsidP="00696582">
      <w:pPr>
        <w:ind w:left="-1276" w:right="-377" w:firstLine="283"/>
        <w:jc w:val="both"/>
        <w:rPr>
          <w:rFonts w:cs="Arial"/>
          <w:b/>
          <w:sz w:val="22"/>
          <w:szCs w:val="22"/>
        </w:rPr>
      </w:pPr>
      <w:r w:rsidRPr="00D05B67">
        <w:rPr>
          <w:rFonts w:cs="Arial"/>
          <w:b/>
          <w:sz w:val="22"/>
          <w:szCs w:val="22"/>
        </w:rPr>
        <w:t>Aprobó</w:t>
      </w:r>
      <w:r w:rsidR="00CB4D37" w:rsidRPr="00D05B67">
        <w:rPr>
          <w:rFonts w:cs="Arial"/>
          <w:b/>
          <w:sz w:val="22"/>
          <w:szCs w:val="22"/>
        </w:rPr>
        <w:t>:</w:t>
      </w:r>
    </w:p>
    <w:p w14:paraId="3C4FE2E1" w14:textId="77777777" w:rsidR="00B66D03" w:rsidRPr="009F7CED" w:rsidRDefault="00B66D03" w:rsidP="00086B16">
      <w:pPr>
        <w:ind w:left="-1276" w:right="-377"/>
        <w:jc w:val="both"/>
        <w:rPr>
          <w:rFonts w:cs="Arial"/>
          <w:sz w:val="22"/>
          <w:szCs w:val="22"/>
        </w:rPr>
      </w:pPr>
    </w:p>
    <w:p w14:paraId="5FBFB46B" w14:textId="77777777" w:rsidR="007E4CE3" w:rsidRPr="009F7CED" w:rsidRDefault="007E4CE3" w:rsidP="00086B16">
      <w:pPr>
        <w:ind w:left="-1276" w:right="-377"/>
        <w:jc w:val="both"/>
        <w:rPr>
          <w:rFonts w:cs="Arial"/>
          <w:sz w:val="22"/>
          <w:szCs w:val="22"/>
        </w:rPr>
      </w:pPr>
    </w:p>
    <w:p w14:paraId="58794F2D" w14:textId="77777777" w:rsidR="007E4CE3" w:rsidRPr="009F7CED" w:rsidRDefault="007E4CE3" w:rsidP="00086B16">
      <w:pPr>
        <w:ind w:left="-1276" w:right="-377"/>
        <w:jc w:val="both"/>
        <w:rPr>
          <w:rFonts w:cs="Arial"/>
          <w:sz w:val="22"/>
          <w:szCs w:val="22"/>
        </w:rPr>
      </w:pPr>
    </w:p>
    <w:p w14:paraId="40DF572D" w14:textId="77777777" w:rsidR="00F445C5" w:rsidRDefault="00F445C5" w:rsidP="001D60F3">
      <w:pPr>
        <w:pStyle w:val="Listavistosa-nfasis11"/>
        <w:ind w:left="-851"/>
        <w:jc w:val="both"/>
        <w:rPr>
          <w:rFonts w:ascii="Arial" w:hAnsi="Arial" w:cs="Arial"/>
          <w:lang w:val="es-ES" w:eastAsia="es-ES"/>
        </w:rPr>
      </w:pPr>
    </w:p>
    <w:p w14:paraId="53202D6B" w14:textId="77777777" w:rsidR="001D60F3" w:rsidRPr="001D60F3" w:rsidRDefault="001D60F3" w:rsidP="000B64F5">
      <w:pPr>
        <w:pStyle w:val="Listavistosa-nfasis11"/>
        <w:ind w:left="-851" w:right="-801"/>
        <w:jc w:val="both"/>
        <w:rPr>
          <w:rFonts w:ascii="Arial" w:hAnsi="Arial" w:cs="Arial"/>
          <w:b/>
          <w:lang w:val="es-ES" w:eastAsia="es-ES"/>
        </w:rPr>
      </w:pPr>
      <w:r>
        <w:rPr>
          <w:rFonts w:ascii="Arial" w:hAnsi="Arial" w:cs="Arial"/>
          <w:b/>
        </w:rPr>
        <w:t>ADRIANA PADILLA LEAL</w:t>
      </w:r>
      <w:r w:rsidRPr="001D60F3">
        <w:rPr>
          <w:rFonts w:ascii="Arial" w:hAnsi="Arial" w:cs="Arial"/>
          <w:b/>
          <w:lang w:val="es-ES" w:eastAsia="es-ES"/>
        </w:rPr>
        <w:t xml:space="preserve"> </w:t>
      </w:r>
      <w:r>
        <w:rPr>
          <w:rFonts w:ascii="Arial" w:hAnsi="Arial" w:cs="Arial"/>
          <w:b/>
          <w:lang w:val="es-ES" w:eastAsia="es-ES"/>
        </w:rPr>
        <w:tab/>
      </w:r>
      <w:r>
        <w:rPr>
          <w:rFonts w:ascii="Arial" w:hAnsi="Arial" w:cs="Arial"/>
          <w:b/>
          <w:lang w:val="es-ES" w:eastAsia="es-ES"/>
        </w:rPr>
        <w:tab/>
      </w:r>
      <w:r>
        <w:rPr>
          <w:rFonts w:ascii="Arial" w:hAnsi="Arial" w:cs="Arial"/>
          <w:b/>
          <w:lang w:val="es-ES" w:eastAsia="es-ES"/>
        </w:rPr>
        <w:tab/>
      </w:r>
      <w:r>
        <w:rPr>
          <w:rFonts w:ascii="Arial" w:hAnsi="Arial" w:cs="Arial"/>
          <w:b/>
          <w:lang w:val="es-ES" w:eastAsia="es-ES"/>
        </w:rPr>
        <w:tab/>
      </w:r>
      <w:r w:rsidR="00412EC5">
        <w:rPr>
          <w:rFonts w:ascii="Arial" w:hAnsi="Arial" w:cs="Arial"/>
          <w:b/>
          <w:lang w:val="es-ES" w:eastAsia="es-ES"/>
        </w:rPr>
        <w:tab/>
        <w:t xml:space="preserve"> </w:t>
      </w:r>
    </w:p>
    <w:p w14:paraId="147B3412" w14:textId="77777777" w:rsidR="001D60F3" w:rsidRDefault="001D60F3" w:rsidP="00412EC5">
      <w:pPr>
        <w:pStyle w:val="Listavistosa-nfasis11"/>
        <w:ind w:left="-851" w:right="-801"/>
        <w:jc w:val="both"/>
        <w:rPr>
          <w:rFonts w:ascii="Arial" w:hAnsi="Arial" w:cs="Arial"/>
          <w:b/>
        </w:rPr>
      </w:pPr>
      <w:r>
        <w:rPr>
          <w:rFonts w:ascii="Arial" w:hAnsi="Arial" w:cs="Arial"/>
        </w:rPr>
        <w:t>Viceministra de Creatividad y Economía Naranja</w:t>
      </w:r>
      <w:r w:rsidRPr="001D60F3">
        <w:rPr>
          <w:rFonts w:ascii="Arial" w:hAnsi="Arial" w:cs="Arial"/>
          <w:lang w:val="es-ES" w:eastAsia="es-ES"/>
        </w:rPr>
        <w:t xml:space="preserve"> </w:t>
      </w:r>
      <w:r>
        <w:rPr>
          <w:rFonts w:ascii="Arial" w:hAnsi="Arial" w:cs="Arial"/>
          <w:lang w:val="es-ES" w:eastAsia="es-ES"/>
        </w:rPr>
        <w:tab/>
      </w:r>
      <w:r w:rsidR="00412EC5">
        <w:rPr>
          <w:rFonts w:ascii="Arial" w:hAnsi="Arial" w:cs="Arial"/>
          <w:lang w:val="es-ES" w:eastAsia="es-ES"/>
        </w:rPr>
        <w:tab/>
      </w:r>
      <w:r>
        <w:rPr>
          <w:rFonts w:ascii="Arial" w:hAnsi="Arial" w:cs="Arial"/>
          <w:b/>
        </w:rPr>
        <w:t xml:space="preserve"> </w:t>
      </w:r>
    </w:p>
    <w:p w14:paraId="558953FB" w14:textId="77777777" w:rsidR="001D60F3" w:rsidRDefault="001D60F3" w:rsidP="001D60F3">
      <w:pPr>
        <w:pStyle w:val="Listavistosa-nfasis11"/>
        <w:ind w:left="-851"/>
        <w:jc w:val="both"/>
        <w:rPr>
          <w:rFonts w:ascii="Arial" w:hAnsi="Arial" w:cs="Arial"/>
        </w:rPr>
      </w:pPr>
    </w:p>
    <w:p w14:paraId="10679BEE" w14:textId="77777777" w:rsidR="006470FE" w:rsidRDefault="006470FE" w:rsidP="006470FE">
      <w:pPr>
        <w:pStyle w:val="Listavistosa-nfasis11"/>
        <w:ind w:left="0"/>
        <w:jc w:val="both"/>
        <w:rPr>
          <w:rFonts w:ascii="Arial" w:hAnsi="Arial" w:cs="Arial"/>
        </w:rPr>
      </w:pPr>
    </w:p>
    <w:p w14:paraId="71D5A178" w14:textId="77777777" w:rsidR="006470FE" w:rsidRDefault="006470FE" w:rsidP="001D60F3">
      <w:pPr>
        <w:pStyle w:val="Listavistosa-nfasis11"/>
        <w:ind w:left="-851"/>
        <w:jc w:val="both"/>
        <w:rPr>
          <w:rFonts w:ascii="Arial" w:hAnsi="Arial" w:cs="Arial"/>
        </w:rPr>
      </w:pPr>
    </w:p>
    <w:p w14:paraId="2BA078A6" w14:textId="77777777" w:rsidR="00D05B67" w:rsidRDefault="000B64F5" w:rsidP="001D60F3">
      <w:pPr>
        <w:pStyle w:val="Listavistosa-nfasis11"/>
        <w:ind w:left="-851"/>
        <w:rPr>
          <w:rFonts w:ascii="Arial" w:hAnsi="Arial" w:cs="Arial"/>
          <w:b/>
        </w:rPr>
      </w:pPr>
      <w:r w:rsidRPr="001D60F3">
        <w:rPr>
          <w:rFonts w:ascii="Arial" w:hAnsi="Arial" w:cs="Arial"/>
          <w:b/>
          <w:lang w:val="es-ES" w:eastAsia="es-ES"/>
        </w:rPr>
        <w:t>JUAN MANUEL ANDRADE</w:t>
      </w:r>
      <w:r>
        <w:rPr>
          <w:rFonts w:ascii="Arial" w:hAnsi="Arial" w:cs="Arial"/>
          <w:b/>
          <w:lang w:val="es-ES" w:eastAsia="es-ES"/>
        </w:rPr>
        <w:t xml:space="preserve"> MORANTES</w:t>
      </w:r>
    </w:p>
    <w:p w14:paraId="46413C1D" w14:textId="77777777" w:rsidR="001D60F3" w:rsidRDefault="000B64F5" w:rsidP="001D60F3">
      <w:pPr>
        <w:pStyle w:val="Listavistosa-nfasis11"/>
        <w:ind w:left="-851"/>
        <w:jc w:val="both"/>
        <w:rPr>
          <w:rFonts w:ascii="Arial" w:hAnsi="Arial" w:cs="Arial"/>
          <w:lang w:val="es-ES" w:eastAsia="es-ES"/>
        </w:rPr>
      </w:pPr>
      <w:r>
        <w:rPr>
          <w:rFonts w:ascii="Arial" w:hAnsi="Arial" w:cs="Arial"/>
          <w:lang w:val="es-ES" w:eastAsia="es-ES"/>
        </w:rPr>
        <w:t xml:space="preserve">Jefe Oficina </w:t>
      </w:r>
      <w:r w:rsidR="006470FE">
        <w:rPr>
          <w:rFonts w:ascii="Arial" w:hAnsi="Arial" w:cs="Arial"/>
          <w:lang w:val="es-ES" w:eastAsia="es-ES"/>
        </w:rPr>
        <w:t>Asesora Jurídica Ministerio de Cultura</w:t>
      </w:r>
    </w:p>
    <w:p w14:paraId="4FAC0D22" w14:textId="77777777" w:rsidR="000B64F5" w:rsidRDefault="000B64F5" w:rsidP="001D60F3">
      <w:pPr>
        <w:pStyle w:val="Listavistosa-nfasis11"/>
        <w:ind w:left="-851"/>
        <w:jc w:val="both"/>
        <w:rPr>
          <w:rFonts w:ascii="Arial" w:hAnsi="Arial" w:cs="Arial"/>
          <w:lang w:val="es-ES" w:eastAsia="es-ES"/>
        </w:rPr>
      </w:pPr>
    </w:p>
    <w:p w14:paraId="1680C113" w14:textId="77777777" w:rsidR="000B64F5" w:rsidRPr="006470FE" w:rsidRDefault="000B64F5" w:rsidP="001D60F3">
      <w:pPr>
        <w:pStyle w:val="Listavistosa-nfasis11"/>
        <w:ind w:left="-851"/>
        <w:jc w:val="both"/>
        <w:rPr>
          <w:rFonts w:ascii="Arial" w:hAnsi="Arial" w:cs="Arial"/>
          <w:sz w:val="16"/>
          <w:szCs w:val="16"/>
        </w:rPr>
      </w:pPr>
    </w:p>
    <w:p w14:paraId="647BA2B5" w14:textId="26C816F4" w:rsidR="000B64F5" w:rsidRPr="006470FE" w:rsidRDefault="000B64F5" w:rsidP="001D60F3">
      <w:pPr>
        <w:pStyle w:val="Listavistosa-nfasis11"/>
        <w:ind w:left="-851"/>
        <w:jc w:val="both"/>
        <w:rPr>
          <w:rFonts w:ascii="Arial" w:hAnsi="Arial" w:cs="Arial"/>
          <w:sz w:val="16"/>
          <w:szCs w:val="16"/>
        </w:rPr>
      </w:pPr>
      <w:r w:rsidRPr="006470FE">
        <w:rPr>
          <w:rFonts w:ascii="Arial" w:hAnsi="Arial" w:cs="Arial"/>
          <w:sz w:val="16"/>
          <w:szCs w:val="16"/>
        </w:rPr>
        <w:t xml:space="preserve">Proyectó: </w:t>
      </w:r>
      <w:r w:rsidRPr="006470FE">
        <w:rPr>
          <w:rFonts w:ascii="Arial" w:hAnsi="Arial" w:cs="Arial"/>
          <w:sz w:val="16"/>
          <w:szCs w:val="16"/>
        </w:rPr>
        <w:tab/>
      </w:r>
      <w:r w:rsidR="006470FE">
        <w:rPr>
          <w:rFonts w:ascii="Arial" w:hAnsi="Arial" w:cs="Arial"/>
          <w:sz w:val="16"/>
          <w:szCs w:val="16"/>
        </w:rPr>
        <w:tab/>
      </w:r>
      <w:r w:rsidR="00255FB5">
        <w:rPr>
          <w:rFonts w:ascii="Arial" w:hAnsi="Arial" w:cs="Arial"/>
          <w:sz w:val="16"/>
          <w:szCs w:val="16"/>
        </w:rPr>
        <w:t xml:space="preserve">Felipe Hoyos Nuñez, Asesor  Dirección de Artes. </w:t>
      </w:r>
    </w:p>
    <w:p w14:paraId="2AF446CF" w14:textId="77777777" w:rsidR="00255FB5" w:rsidRDefault="000B64F5" w:rsidP="006470FE">
      <w:pPr>
        <w:pStyle w:val="Listavistosa-nfasis11"/>
        <w:ind w:left="708" w:hanging="1559"/>
        <w:jc w:val="both"/>
        <w:rPr>
          <w:rFonts w:ascii="Arial" w:hAnsi="Arial" w:cs="Arial"/>
          <w:sz w:val="16"/>
          <w:szCs w:val="16"/>
        </w:rPr>
      </w:pPr>
      <w:r w:rsidRPr="006470FE">
        <w:rPr>
          <w:rFonts w:ascii="Arial" w:hAnsi="Arial" w:cs="Arial"/>
          <w:sz w:val="16"/>
          <w:szCs w:val="16"/>
        </w:rPr>
        <w:t xml:space="preserve">Revisaron: </w:t>
      </w:r>
      <w:r w:rsidRPr="006470FE">
        <w:rPr>
          <w:rFonts w:ascii="Arial" w:hAnsi="Arial" w:cs="Arial"/>
          <w:sz w:val="16"/>
          <w:szCs w:val="16"/>
        </w:rPr>
        <w:tab/>
        <w:t xml:space="preserve">Mauricio Herrera </w:t>
      </w:r>
      <w:r w:rsidR="00255FB5">
        <w:rPr>
          <w:rFonts w:ascii="Arial" w:hAnsi="Arial" w:cs="Arial"/>
          <w:sz w:val="16"/>
          <w:szCs w:val="16"/>
        </w:rPr>
        <w:t>Bermúdez</w:t>
      </w:r>
      <w:r w:rsidRPr="006470FE">
        <w:rPr>
          <w:rFonts w:ascii="Arial" w:hAnsi="Arial" w:cs="Arial"/>
          <w:sz w:val="16"/>
          <w:szCs w:val="16"/>
        </w:rPr>
        <w:t xml:space="preserve">, </w:t>
      </w:r>
      <w:r w:rsidR="006470FE" w:rsidRPr="006470FE">
        <w:rPr>
          <w:rFonts w:ascii="Arial" w:hAnsi="Arial" w:cs="Arial"/>
          <w:sz w:val="16"/>
          <w:szCs w:val="16"/>
        </w:rPr>
        <w:t>Coordinador Grupo de Conceptos, Asesoría Legal y Derechos de Petición.</w:t>
      </w:r>
    </w:p>
    <w:p w14:paraId="761DEB6B" w14:textId="74708538" w:rsidR="000B64F5" w:rsidRPr="006470FE" w:rsidRDefault="00255FB5" w:rsidP="006470FE">
      <w:pPr>
        <w:pStyle w:val="Listavistosa-nfasis11"/>
        <w:ind w:left="708" w:hanging="1559"/>
        <w:jc w:val="both"/>
        <w:rPr>
          <w:rFonts w:ascii="Arial" w:hAnsi="Arial" w:cs="Arial"/>
          <w:sz w:val="16"/>
          <w:szCs w:val="16"/>
        </w:rPr>
      </w:pPr>
      <w:r>
        <w:rPr>
          <w:rFonts w:ascii="Arial" w:hAnsi="Arial" w:cs="Arial"/>
          <w:sz w:val="16"/>
          <w:szCs w:val="16"/>
        </w:rPr>
        <w:tab/>
        <w:t xml:space="preserve">Amalia Isabel Lazara de Pombo, Directora de Artes. </w:t>
      </w:r>
      <w:r w:rsidR="006470FE" w:rsidRPr="006470FE">
        <w:rPr>
          <w:rFonts w:ascii="Arial" w:hAnsi="Arial" w:cs="Arial"/>
          <w:sz w:val="16"/>
          <w:szCs w:val="16"/>
        </w:rPr>
        <w:t xml:space="preserve"> </w:t>
      </w:r>
    </w:p>
    <w:p w14:paraId="74DD56C3" w14:textId="77777777" w:rsidR="001D60F3" w:rsidRPr="006470FE" w:rsidRDefault="006470FE" w:rsidP="006470FE">
      <w:pPr>
        <w:pStyle w:val="Listavistosa-nfasis11"/>
        <w:ind w:left="-143" w:firstLine="851"/>
        <w:jc w:val="both"/>
        <w:rPr>
          <w:rFonts w:ascii="Arial" w:hAnsi="Arial" w:cs="Arial"/>
          <w:b/>
          <w:sz w:val="16"/>
          <w:szCs w:val="16"/>
        </w:rPr>
      </w:pPr>
      <w:r w:rsidRPr="006470FE">
        <w:rPr>
          <w:rFonts w:ascii="Arial" w:hAnsi="Arial" w:cs="Arial"/>
          <w:sz w:val="16"/>
          <w:szCs w:val="16"/>
        </w:rPr>
        <w:t>Gabriel Arjona,</w:t>
      </w:r>
      <w:r w:rsidRPr="006470FE">
        <w:rPr>
          <w:rFonts w:ascii="Arial" w:hAnsi="Arial" w:cs="Arial"/>
          <w:b/>
          <w:sz w:val="16"/>
          <w:szCs w:val="16"/>
        </w:rPr>
        <w:t xml:space="preserve"> </w:t>
      </w:r>
      <w:r w:rsidR="001D60F3" w:rsidRPr="006470FE">
        <w:rPr>
          <w:rFonts w:ascii="Arial" w:hAnsi="Arial" w:cs="Arial"/>
          <w:sz w:val="16"/>
          <w:szCs w:val="16"/>
        </w:rPr>
        <w:t>Asesor</w:t>
      </w:r>
      <w:r w:rsidRPr="006470FE">
        <w:rPr>
          <w:rFonts w:ascii="Arial" w:hAnsi="Arial" w:cs="Arial"/>
          <w:b/>
          <w:sz w:val="16"/>
          <w:szCs w:val="16"/>
        </w:rPr>
        <w:t xml:space="preserve"> </w:t>
      </w:r>
      <w:r w:rsidR="001D60F3" w:rsidRPr="006470FE">
        <w:rPr>
          <w:rFonts w:ascii="Arial" w:hAnsi="Arial" w:cs="Arial"/>
          <w:sz w:val="16"/>
          <w:szCs w:val="16"/>
        </w:rPr>
        <w:t>Viceministerio de Creatividad y Economía Naranja</w:t>
      </w:r>
    </w:p>
    <w:p w14:paraId="6A567072" w14:textId="77777777" w:rsidR="006779DA" w:rsidRPr="00637B90" w:rsidRDefault="00637B90" w:rsidP="001D60F3">
      <w:pPr>
        <w:pStyle w:val="Listavistosa-nfasis11"/>
        <w:ind w:left="-851"/>
        <w:jc w:val="both"/>
        <w:rPr>
          <w:rFonts w:ascii="Arial" w:hAnsi="Arial" w:cs="Arial"/>
          <w:b/>
          <w:color w:val="FF0000"/>
        </w:rPr>
      </w:pPr>
      <w:r>
        <w:rPr>
          <w:rFonts w:ascii="Arial" w:hAnsi="Arial" w:cs="Arial"/>
          <w:b/>
        </w:rPr>
        <w:t xml:space="preserve"> </w:t>
      </w:r>
    </w:p>
    <w:sectPr w:rsidR="006779DA" w:rsidRPr="00637B90" w:rsidSect="00696582">
      <w:headerReference w:type="default" r:id="rId8"/>
      <w:footerReference w:type="default" r:id="rId9"/>
      <w:headerReference w:type="first" r:id="rId10"/>
      <w:type w:val="continuous"/>
      <w:pgSz w:w="12240" w:h="15840" w:code="1"/>
      <w:pgMar w:top="1616" w:right="1701" w:bottom="1115"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4EB57" w14:textId="77777777" w:rsidR="001D3AA8" w:rsidRDefault="001D3AA8">
      <w:r>
        <w:separator/>
      </w:r>
    </w:p>
  </w:endnote>
  <w:endnote w:type="continuationSeparator" w:id="0">
    <w:p w14:paraId="767C8A02" w14:textId="77777777" w:rsidR="001D3AA8" w:rsidRDefault="001D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BE17A" w14:textId="77777777" w:rsidR="00713AA7" w:rsidRDefault="00713AA7">
    <w:pPr>
      <w:pStyle w:val="Piedepgina"/>
      <w:jc w:val="right"/>
    </w:pPr>
    <w:r>
      <w:fldChar w:fldCharType="begin"/>
    </w:r>
    <w:r>
      <w:instrText>PAGE   \* MERGEFORMAT</w:instrText>
    </w:r>
    <w:r>
      <w:fldChar w:fldCharType="separate"/>
    </w:r>
    <w:r w:rsidR="00F86314">
      <w:rPr>
        <w:noProof/>
      </w:rPr>
      <w:t>2</w:t>
    </w:r>
    <w:r>
      <w:fldChar w:fldCharType="end"/>
    </w:r>
  </w:p>
  <w:p w14:paraId="1D25E335" w14:textId="77777777" w:rsidR="00713AA7" w:rsidRPr="0084294E" w:rsidRDefault="00713AA7" w:rsidP="00FA4A9E">
    <w:pPr>
      <w:pStyle w:val="Piedepgina"/>
      <w:jc w:val="center"/>
      <w:rPr>
        <w:sz w:val="18"/>
        <w:szCs w:val="18"/>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49FCA" w14:textId="77777777" w:rsidR="001D3AA8" w:rsidRDefault="001D3AA8">
      <w:r>
        <w:separator/>
      </w:r>
    </w:p>
  </w:footnote>
  <w:footnote w:type="continuationSeparator" w:id="0">
    <w:p w14:paraId="0529DFF8" w14:textId="77777777" w:rsidR="001D3AA8" w:rsidRDefault="001D3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C9903" w14:textId="77777777" w:rsidR="00713AA7" w:rsidRDefault="00713AA7">
    <w:pPr>
      <w:pStyle w:val="Encabezado"/>
    </w:pPr>
  </w:p>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713AA7" w14:paraId="7D6B7975" w14:textId="77777777" w:rsidTr="001447C1">
      <w:tc>
        <w:tcPr>
          <w:tcW w:w="4253" w:type="dxa"/>
          <w:shd w:val="clear" w:color="auto" w:fill="auto"/>
        </w:tcPr>
        <w:p w14:paraId="42D6C349" w14:textId="77777777" w:rsidR="00713AA7" w:rsidRDefault="00F86314" w:rsidP="001447C1">
          <w:pPr>
            <w:pStyle w:val="Encabezado"/>
          </w:pPr>
          <w:r w:rsidRPr="00D965B1">
            <w:rPr>
              <w:noProof/>
              <w:lang w:val="en-US" w:eastAsia="en-US"/>
            </w:rPr>
            <w:drawing>
              <wp:inline distT="0" distB="0" distL="0" distR="0" wp14:anchorId="67002E4A" wp14:editId="0CFCC55F">
                <wp:extent cx="2562225" cy="54292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542925"/>
                        </a:xfrm>
                        <a:prstGeom prst="rect">
                          <a:avLst/>
                        </a:prstGeom>
                        <a:noFill/>
                        <a:ln>
                          <a:noFill/>
                        </a:ln>
                      </pic:spPr>
                    </pic:pic>
                  </a:graphicData>
                </a:graphic>
              </wp:inline>
            </w:drawing>
          </w:r>
        </w:p>
      </w:tc>
      <w:tc>
        <w:tcPr>
          <w:tcW w:w="6545" w:type="dxa"/>
          <w:shd w:val="clear" w:color="auto" w:fill="auto"/>
          <w:vAlign w:val="center"/>
        </w:tcPr>
        <w:p w14:paraId="440E8E07" w14:textId="77777777" w:rsidR="00713AA7" w:rsidRDefault="00713AA7" w:rsidP="001447C1">
          <w:pPr>
            <w:pStyle w:val="Ttulo2"/>
            <w:ind w:left="72" w:right="72"/>
          </w:pPr>
          <w:r w:rsidRPr="00FD3D04">
            <w:rPr>
              <w:rFonts w:cs="Arial"/>
              <w:bCs/>
              <w:color w:val="000000"/>
              <w:sz w:val="24"/>
              <w:szCs w:val="24"/>
            </w:rPr>
            <w:t>FORMATO MEMORIA JUSTIFICATIVA</w:t>
          </w:r>
        </w:p>
      </w:tc>
    </w:tr>
  </w:tbl>
  <w:p w14:paraId="1F1F7252" w14:textId="77777777" w:rsidR="00713AA7" w:rsidRDefault="00713A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713AA7" w14:paraId="60966C18" w14:textId="77777777" w:rsidTr="00FD3D04">
      <w:tc>
        <w:tcPr>
          <w:tcW w:w="4253" w:type="dxa"/>
          <w:shd w:val="clear" w:color="auto" w:fill="auto"/>
        </w:tcPr>
        <w:p w14:paraId="3DC35F29" w14:textId="77777777" w:rsidR="00713AA7" w:rsidRDefault="00F86314">
          <w:pPr>
            <w:pStyle w:val="Encabezado"/>
          </w:pPr>
          <w:r w:rsidRPr="00D965B1">
            <w:rPr>
              <w:noProof/>
              <w:lang w:val="en-US" w:eastAsia="en-US"/>
            </w:rPr>
            <w:drawing>
              <wp:inline distT="0" distB="0" distL="0" distR="0" wp14:anchorId="582C83FC" wp14:editId="3ED03669">
                <wp:extent cx="2562225" cy="54292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542925"/>
                        </a:xfrm>
                        <a:prstGeom prst="rect">
                          <a:avLst/>
                        </a:prstGeom>
                        <a:noFill/>
                        <a:ln>
                          <a:noFill/>
                        </a:ln>
                      </pic:spPr>
                    </pic:pic>
                  </a:graphicData>
                </a:graphic>
              </wp:inline>
            </w:drawing>
          </w:r>
        </w:p>
      </w:tc>
      <w:tc>
        <w:tcPr>
          <w:tcW w:w="6545" w:type="dxa"/>
          <w:shd w:val="clear" w:color="auto" w:fill="auto"/>
          <w:vAlign w:val="center"/>
        </w:tcPr>
        <w:p w14:paraId="0B268A5B" w14:textId="77777777" w:rsidR="00713AA7" w:rsidRDefault="00713AA7" w:rsidP="00FD3D04">
          <w:pPr>
            <w:pStyle w:val="Ttulo2"/>
            <w:ind w:left="72" w:right="72"/>
          </w:pPr>
          <w:r w:rsidRPr="00FD3D04">
            <w:rPr>
              <w:rFonts w:cs="Arial"/>
              <w:bCs/>
              <w:color w:val="000000"/>
              <w:sz w:val="24"/>
              <w:szCs w:val="24"/>
            </w:rPr>
            <w:t>FORMATO MEMORIA JUSTIFICATIVA</w:t>
          </w:r>
        </w:p>
      </w:tc>
    </w:tr>
  </w:tbl>
  <w:p w14:paraId="05BDC6EA" w14:textId="77777777" w:rsidR="00713AA7" w:rsidRDefault="00713A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F1F71"/>
    <w:multiLevelType w:val="hybridMultilevel"/>
    <w:tmpl w:val="E22093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937E34"/>
    <w:multiLevelType w:val="hybridMultilevel"/>
    <w:tmpl w:val="EBC2F2E6"/>
    <w:lvl w:ilvl="0" w:tplc="D3C24856">
      <w:numFmt w:val="bullet"/>
      <w:lvlText w:val="-"/>
      <w:lvlJc w:val="left"/>
      <w:pPr>
        <w:ind w:left="360" w:hanging="360"/>
      </w:pPr>
      <w:rPr>
        <w:rFonts w:ascii="Arial" w:eastAsia="Arial Unicode MS" w:hAnsi="Arial" w:cs="Arial" w:hint="default"/>
      </w:rPr>
    </w:lvl>
    <w:lvl w:ilvl="1" w:tplc="240A000D">
      <w:start w:val="1"/>
      <w:numFmt w:val="bullet"/>
      <w:lvlText w:val=""/>
      <w:lvlJc w:val="left"/>
      <w:pPr>
        <w:ind w:left="1080" w:hanging="360"/>
      </w:pPr>
      <w:rPr>
        <w:rFonts w:ascii="Wingdings" w:hAnsi="Wingdings"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15:restartNumberingAfterBreak="0">
    <w:nsid w:val="0DE945B7"/>
    <w:multiLevelType w:val="hybridMultilevel"/>
    <w:tmpl w:val="9BA8E9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7F2FD2"/>
    <w:multiLevelType w:val="hybridMultilevel"/>
    <w:tmpl w:val="23780C54"/>
    <w:lvl w:ilvl="0" w:tplc="7122AF36">
      <w:start w:val="1"/>
      <w:numFmt w:val="decimal"/>
      <w:lvlText w:val="%1."/>
      <w:lvlJc w:val="left"/>
      <w:pPr>
        <w:ind w:left="720" w:hanging="360"/>
      </w:pPr>
      <w:rPr>
        <w:rFonts w:ascii="Arial" w:eastAsia="Calibri" w:hAnsi="Arial" w:cs="Arial"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8D43E1"/>
    <w:multiLevelType w:val="hybridMultilevel"/>
    <w:tmpl w:val="3E3C0C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0077F4"/>
    <w:multiLevelType w:val="hybridMultilevel"/>
    <w:tmpl w:val="471ED7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9FD38AD"/>
    <w:multiLevelType w:val="hybridMultilevel"/>
    <w:tmpl w:val="EBA60462"/>
    <w:lvl w:ilvl="0" w:tplc="D4707DD6">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331E40"/>
    <w:multiLevelType w:val="hybridMultilevel"/>
    <w:tmpl w:val="7EB8E8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9225D5"/>
    <w:multiLevelType w:val="hybridMultilevel"/>
    <w:tmpl w:val="2752FB6E"/>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15:restartNumberingAfterBreak="0">
    <w:nsid w:val="1F7F7418"/>
    <w:multiLevelType w:val="hybridMultilevel"/>
    <w:tmpl w:val="561034C0"/>
    <w:lvl w:ilvl="0" w:tplc="C688F99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5CC3AAB"/>
    <w:multiLevelType w:val="hybridMultilevel"/>
    <w:tmpl w:val="C72A38F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E30D56"/>
    <w:multiLevelType w:val="hybridMultilevel"/>
    <w:tmpl w:val="B512F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C7D6525"/>
    <w:multiLevelType w:val="hybridMultilevel"/>
    <w:tmpl w:val="14323D5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C8D575C"/>
    <w:multiLevelType w:val="hybridMultilevel"/>
    <w:tmpl w:val="903E42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FC438A4"/>
    <w:multiLevelType w:val="hybridMultilevel"/>
    <w:tmpl w:val="CC544A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17AA6"/>
    <w:multiLevelType w:val="hybridMultilevel"/>
    <w:tmpl w:val="78BE8B20"/>
    <w:lvl w:ilvl="0" w:tplc="D10EA2F8">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8333F05"/>
    <w:multiLevelType w:val="hybridMultilevel"/>
    <w:tmpl w:val="DBDC35E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6341FF"/>
    <w:multiLevelType w:val="multilevel"/>
    <w:tmpl w:val="078847B8"/>
    <w:lvl w:ilvl="0">
      <w:start w:val="2"/>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A7C7321"/>
    <w:multiLevelType w:val="hybridMultilevel"/>
    <w:tmpl w:val="EF704034"/>
    <w:lvl w:ilvl="0" w:tplc="3AAE91AA">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F32023"/>
    <w:multiLevelType w:val="hybridMultilevel"/>
    <w:tmpl w:val="E91C692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40A3792D"/>
    <w:multiLevelType w:val="hybridMultilevel"/>
    <w:tmpl w:val="1150A7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4BC1A61"/>
    <w:multiLevelType w:val="hybridMultilevel"/>
    <w:tmpl w:val="9C96BFC6"/>
    <w:lvl w:ilvl="0" w:tplc="AE5A3DC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9127B63"/>
    <w:multiLevelType w:val="hybridMultilevel"/>
    <w:tmpl w:val="7BC80F2C"/>
    <w:lvl w:ilvl="0" w:tplc="FFFFFFFF">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FE38A9"/>
    <w:multiLevelType w:val="hybridMultilevel"/>
    <w:tmpl w:val="B6C654B2"/>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4D811299"/>
    <w:multiLevelType w:val="hybridMultilevel"/>
    <w:tmpl w:val="4CAE1F3E"/>
    <w:lvl w:ilvl="0" w:tplc="C5F83004">
      <w:start w:val="1440"/>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820AD0"/>
    <w:multiLevelType w:val="hybridMultilevel"/>
    <w:tmpl w:val="44084084"/>
    <w:lvl w:ilvl="0" w:tplc="240A000D">
      <w:start w:val="1"/>
      <w:numFmt w:val="bullet"/>
      <w:lvlText w:val=""/>
      <w:lvlJc w:val="left"/>
      <w:pPr>
        <w:ind w:left="-1020" w:hanging="360"/>
      </w:pPr>
      <w:rPr>
        <w:rFonts w:ascii="Wingdings" w:hAnsi="Wingdings" w:hint="default"/>
      </w:rPr>
    </w:lvl>
    <w:lvl w:ilvl="1" w:tplc="240A0003" w:tentative="1">
      <w:start w:val="1"/>
      <w:numFmt w:val="bullet"/>
      <w:lvlText w:val="o"/>
      <w:lvlJc w:val="left"/>
      <w:pPr>
        <w:ind w:left="-300" w:hanging="360"/>
      </w:pPr>
      <w:rPr>
        <w:rFonts w:ascii="Courier New" w:hAnsi="Courier New" w:cs="Courier New" w:hint="default"/>
      </w:rPr>
    </w:lvl>
    <w:lvl w:ilvl="2" w:tplc="240A0005" w:tentative="1">
      <w:start w:val="1"/>
      <w:numFmt w:val="bullet"/>
      <w:lvlText w:val=""/>
      <w:lvlJc w:val="left"/>
      <w:pPr>
        <w:ind w:left="420" w:hanging="360"/>
      </w:pPr>
      <w:rPr>
        <w:rFonts w:ascii="Wingdings" w:hAnsi="Wingdings" w:hint="default"/>
      </w:rPr>
    </w:lvl>
    <w:lvl w:ilvl="3" w:tplc="240A0001" w:tentative="1">
      <w:start w:val="1"/>
      <w:numFmt w:val="bullet"/>
      <w:lvlText w:val=""/>
      <w:lvlJc w:val="left"/>
      <w:pPr>
        <w:ind w:left="1140" w:hanging="360"/>
      </w:pPr>
      <w:rPr>
        <w:rFonts w:ascii="Symbol" w:hAnsi="Symbol" w:hint="default"/>
      </w:rPr>
    </w:lvl>
    <w:lvl w:ilvl="4" w:tplc="240A0003" w:tentative="1">
      <w:start w:val="1"/>
      <w:numFmt w:val="bullet"/>
      <w:lvlText w:val="o"/>
      <w:lvlJc w:val="left"/>
      <w:pPr>
        <w:ind w:left="1860" w:hanging="360"/>
      </w:pPr>
      <w:rPr>
        <w:rFonts w:ascii="Courier New" w:hAnsi="Courier New" w:cs="Courier New" w:hint="default"/>
      </w:rPr>
    </w:lvl>
    <w:lvl w:ilvl="5" w:tplc="240A0005" w:tentative="1">
      <w:start w:val="1"/>
      <w:numFmt w:val="bullet"/>
      <w:lvlText w:val=""/>
      <w:lvlJc w:val="left"/>
      <w:pPr>
        <w:ind w:left="2580" w:hanging="360"/>
      </w:pPr>
      <w:rPr>
        <w:rFonts w:ascii="Wingdings" w:hAnsi="Wingdings" w:hint="default"/>
      </w:rPr>
    </w:lvl>
    <w:lvl w:ilvl="6" w:tplc="240A0001" w:tentative="1">
      <w:start w:val="1"/>
      <w:numFmt w:val="bullet"/>
      <w:lvlText w:val=""/>
      <w:lvlJc w:val="left"/>
      <w:pPr>
        <w:ind w:left="3300" w:hanging="360"/>
      </w:pPr>
      <w:rPr>
        <w:rFonts w:ascii="Symbol" w:hAnsi="Symbol" w:hint="default"/>
      </w:rPr>
    </w:lvl>
    <w:lvl w:ilvl="7" w:tplc="240A0003" w:tentative="1">
      <w:start w:val="1"/>
      <w:numFmt w:val="bullet"/>
      <w:lvlText w:val="o"/>
      <w:lvlJc w:val="left"/>
      <w:pPr>
        <w:ind w:left="4020" w:hanging="360"/>
      </w:pPr>
      <w:rPr>
        <w:rFonts w:ascii="Courier New" w:hAnsi="Courier New" w:cs="Courier New" w:hint="default"/>
      </w:rPr>
    </w:lvl>
    <w:lvl w:ilvl="8" w:tplc="240A0005" w:tentative="1">
      <w:start w:val="1"/>
      <w:numFmt w:val="bullet"/>
      <w:lvlText w:val=""/>
      <w:lvlJc w:val="left"/>
      <w:pPr>
        <w:ind w:left="4740" w:hanging="360"/>
      </w:pPr>
      <w:rPr>
        <w:rFonts w:ascii="Wingdings" w:hAnsi="Wingdings" w:hint="default"/>
      </w:rPr>
    </w:lvl>
  </w:abstractNum>
  <w:abstractNum w:abstractNumId="26" w15:restartNumberingAfterBreak="0">
    <w:nsid w:val="55612A01"/>
    <w:multiLevelType w:val="hybridMultilevel"/>
    <w:tmpl w:val="516C2342"/>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7" w15:restartNumberingAfterBreak="0">
    <w:nsid w:val="56C63FAB"/>
    <w:multiLevelType w:val="hybridMultilevel"/>
    <w:tmpl w:val="4B266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988006D"/>
    <w:multiLevelType w:val="hybridMultilevel"/>
    <w:tmpl w:val="1F986C7A"/>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9" w15:restartNumberingAfterBreak="0">
    <w:nsid w:val="599274BB"/>
    <w:multiLevelType w:val="hybridMultilevel"/>
    <w:tmpl w:val="19B6D6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5AC27BD1"/>
    <w:multiLevelType w:val="hybridMultilevel"/>
    <w:tmpl w:val="B00A22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D4163EC"/>
    <w:multiLevelType w:val="hybridMultilevel"/>
    <w:tmpl w:val="2B166F1E"/>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2" w15:restartNumberingAfterBreak="0">
    <w:nsid w:val="5F423FF4"/>
    <w:multiLevelType w:val="multilevel"/>
    <w:tmpl w:val="60C2505A"/>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60682FB7"/>
    <w:multiLevelType w:val="hybridMultilevel"/>
    <w:tmpl w:val="6EB8E7D0"/>
    <w:lvl w:ilvl="0" w:tplc="0C0A000F">
      <w:start w:val="1"/>
      <w:numFmt w:val="decimal"/>
      <w:lvlText w:val="%1."/>
      <w:lvlJc w:val="left"/>
      <w:pPr>
        <w:tabs>
          <w:tab w:val="num" w:pos="720"/>
        </w:tabs>
        <w:ind w:left="720" w:hanging="36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0A438E4"/>
    <w:multiLevelType w:val="hybridMultilevel"/>
    <w:tmpl w:val="1602CE3A"/>
    <w:lvl w:ilvl="0" w:tplc="BB08A936">
      <w:numFmt w:val="bullet"/>
      <w:lvlText w:val="-"/>
      <w:lvlJc w:val="left"/>
      <w:pPr>
        <w:ind w:left="322" w:hanging="360"/>
      </w:pPr>
      <w:rPr>
        <w:rFonts w:ascii="Arial" w:eastAsia="Times" w:hAnsi="Arial" w:cs="Arial" w:hint="default"/>
      </w:rPr>
    </w:lvl>
    <w:lvl w:ilvl="1" w:tplc="240A0003" w:tentative="1">
      <w:start w:val="1"/>
      <w:numFmt w:val="bullet"/>
      <w:lvlText w:val="o"/>
      <w:lvlJc w:val="left"/>
      <w:pPr>
        <w:ind w:left="1042" w:hanging="360"/>
      </w:pPr>
      <w:rPr>
        <w:rFonts w:ascii="Courier New" w:hAnsi="Courier New" w:cs="Courier New" w:hint="default"/>
      </w:rPr>
    </w:lvl>
    <w:lvl w:ilvl="2" w:tplc="240A0005" w:tentative="1">
      <w:start w:val="1"/>
      <w:numFmt w:val="bullet"/>
      <w:lvlText w:val=""/>
      <w:lvlJc w:val="left"/>
      <w:pPr>
        <w:ind w:left="1762" w:hanging="360"/>
      </w:pPr>
      <w:rPr>
        <w:rFonts w:ascii="Wingdings" w:hAnsi="Wingdings" w:hint="default"/>
      </w:rPr>
    </w:lvl>
    <w:lvl w:ilvl="3" w:tplc="240A0001" w:tentative="1">
      <w:start w:val="1"/>
      <w:numFmt w:val="bullet"/>
      <w:lvlText w:val=""/>
      <w:lvlJc w:val="left"/>
      <w:pPr>
        <w:ind w:left="2482" w:hanging="360"/>
      </w:pPr>
      <w:rPr>
        <w:rFonts w:ascii="Symbol" w:hAnsi="Symbol" w:hint="default"/>
      </w:rPr>
    </w:lvl>
    <w:lvl w:ilvl="4" w:tplc="240A0003" w:tentative="1">
      <w:start w:val="1"/>
      <w:numFmt w:val="bullet"/>
      <w:lvlText w:val="o"/>
      <w:lvlJc w:val="left"/>
      <w:pPr>
        <w:ind w:left="3202" w:hanging="360"/>
      </w:pPr>
      <w:rPr>
        <w:rFonts w:ascii="Courier New" w:hAnsi="Courier New" w:cs="Courier New" w:hint="default"/>
      </w:rPr>
    </w:lvl>
    <w:lvl w:ilvl="5" w:tplc="240A0005" w:tentative="1">
      <w:start w:val="1"/>
      <w:numFmt w:val="bullet"/>
      <w:lvlText w:val=""/>
      <w:lvlJc w:val="left"/>
      <w:pPr>
        <w:ind w:left="3922" w:hanging="360"/>
      </w:pPr>
      <w:rPr>
        <w:rFonts w:ascii="Wingdings" w:hAnsi="Wingdings" w:hint="default"/>
      </w:rPr>
    </w:lvl>
    <w:lvl w:ilvl="6" w:tplc="240A0001" w:tentative="1">
      <w:start w:val="1"/>
      <w:numFmt w:val="bullet"/>
      <w:lvlText w:val=""/>
      <w:lvlJc w:val="left"/>
      <w:pPr>
        <w:ind w:left="4642" w:hanging="360"/>
      </w:pPr>
      <w:rPr>
        <w:rFonts w:ascii="Symbol" w:hAnsi="Symbol" w:hint="default"/>
      </w:rPr>
    </w:lvl>
    <w:lvl w:ilvl="7" w:tplc="240A0003" w:tentative="1">
      <w:start w:val="1"/>
      <w:numFmt w:val="bullet"/>
      <w:lvlText w:val="o"/>
      <w:lvlJc w:val="left"/>
      <w:pPr>
        <w:ind w:left="5362" w:hanging="360"/>
      </w:pPr>
      <w:rPr>
        <w:rFonts w:ascii="Courier New" w:hAnsi="Courier New" w:cs="Courier New" w:hint="default"/>
      </w:rPr>
    </w:lvl>
    <w:lvl w:ilvl="8" w:tplc="240A0005" w:tentative="1">
      <w:start w:val="1"/>
      <w:numFmt w:val="bullet"/>
      <w:lvlText w:val=""/>
      <w:lvlJc w:val="left"/>
      <w:pPr>
        <w:ind w:left="6082" w:hanging="360"/>
      </w:pPr>
      <w:rPr>
        <w:rFonts w:ascii="Wingdings" w:hAnsi="Wingdings" w:hint="default"/>
      </w:rPr>
    </w:lvl>
  </w:abstractNum>
  <w:abstractNum w:abstractNumId="35" w15:restartNumberingAfterBreak="0">
    <w:nsid w:val="64573526"/>
    <w:multiLevelType w:val="hybridMultilevel"/>
    <w:tmpl w:val="665E973A"/>
    <w:lvl w:ilvl="0" w:tplc="2C08755A">
      <w:start w:val="1"/>
      <w:numFmt w:val="bullet"/>
      <w:lvlText w:val="•"/>
      <w:lvlJc w:val="left"/>
      <w:pPr>
        <w:tabs>
          <w:tab w:val="num" w:pos="999"/>
        </w:tabs>
        <w:ind w:left="999" w:hanging="360"/>
      </w:pPr>
      <w:rPr>
        <w:rFonts w:ascii="Arial" w:hAnsi="Arial" w:hint="default"/>
      </w:rPr>
    </w:lvl>
    <w:lvl w:ilvl="1" w:tplc="5AD0665A" w:tentative="1">
      <w:start w:val="1"/>
      <w:numFmt w:val="bullet"/>
      <w:lvlText w:val="•"/>
      <w:lvlJc w:val="left"/>
      <w:pPr>
        <w:tabs>
          <w:tab w:val="num" w:pos="1719"/>
        </w:tabs>
        <w:ind w:left="1719" w:hanging="360"/>
      </w:pPr>
      <w:rPr>
        <w:rFonts w:ascii="Arial" w:hAnsi="Arial" w:hint="default"/>
      </w:rPr>
    </w:lvl>
    <w:lvl w:ilvl="2" w:tplc="2AD44A04" w:tentative="1">
      <w:start w:val="1"/>
      <w:numFmt w:val="bullet"/>
      <w:lvlText w:val="•"/>
      <w:lvlJc w:val="left"/>
      <w:pPr>
        <w:tabs>
          <w:tab w:val="num" w:pos="2439"/>
        </w:tabs>
        <w:ind w:left="2439" w:hanging="360"/>
      </w:pPr>
      <w:rPr>
        <w:rFonts w:ascii="Arial" w:hAnsi="Arial" w:hint="default"/>
      </w:rPr>
    </w:lvl>
    <w:lvl w:ilvl="3" w:tplc="07082974" w:tentative="1">
      <w:start w:val="1"/>
      <w:numFmt w:val="bullet"/>
      <w:lvlText w:val="•"/>
      <w:lvlJc w:val="left"/>
      <w:pPr>
        <w:tabs>
          <w:tab w:val="num" w:pos="3159"/>
        </w:tabs>
        <w:ind w:left="3159" w:hanging="360"/>
      </w:pPr>
      <w:rPr>
        <w:rFonts w:ascii="Arial" w:hAnsi="Arial" w:hint="default"/>
      </w:rPr>
    </w:lvl>
    <w:lvl w:ilvl="4" w:tplc="CD76DC7C" w:tentative="1">
      <w:start w:val="1"/>
      <w:numFmt w:val="bullet"/>
      <w:lvlText w:val="•"/>
      <w:lvlJc w:val="left"/>
      <w:pPr>
        <w:tabs>
          <w:tab w:val="num" w:pos="3879"/>
        </w:tabs>
        <w:ind w:left="3879" w:hanging="360"/>
      </w:pPr>
      <w:rPr>
        <w:rFonts w:ascii="Arial" w:hAnsi="Arial" w:hint="default"/>
      </w:rPr>
    </w:lvl>
    <w:lvl w:ilvl="5" w:tplc="3D28A6E6" w:tentative="1">
      <w:start w:val="1"/>
      <w:numFmt w:val="bullet"/>
      <w:lvlText w:val="•"/>
      <w:lvlJc w:val="left"/>
      <w:pPr>
        <w:tabs>
          <w:tab w:val="num" w:pos="4599"/>
        </w:tabs>
        <w:ind w:left="4599" w:hanging="360"/>
      </w:pPr>
      <w:rPr>
        <w:rFonts w:ascii="Arial" w:hAnsi="Arial" w:hint="default"/>
      </w:rPr>
    </w:lvl>
    <w:lvl w:ilvl="6" w:tplc="590A4E18" w:tentative="1">
      <w:start w:val="1"/>
      <w:numFmt w:val="bullet"/>
      <w:lvlText w:val="•"/>
      <w:lvlJc w:val="left"/>
      <w:pPr>
        <w:tabs>
          <w:tab w:val="num" w:pos="5319"/>
        </w:tabs>
        <w:ind w:left="5319" w:hanging="360"/>
      </w:pPr>
      <w:rPr>
        <w:rFonts w:ascii="Arial" w:hAnsi="Arial" w:hint="default"/>
      </w:rPr>
    </w:lvl>
    <w:lvl w:ilvl="7" w:tplc="56BA76D8" w:tentative="1">
      <w:start w:val="1"/>
      <w:numFmt w:val="bullet"/>
      <w:lvlText w:val="•"/>
      <w:lvlJc w:val="left"/>
      <w:pPr>
        <w:tabs>
          <w:tab w:val="num" w:pos="6039"/>
        </w:tabs>
        <w:ind w:left="6039" w:hanging="360"/>
      </w:pPr>
      <w:rPr>
        <w:rFonts w:ascii="Arial" w:hAnsi="Arial" w:hint="default"/>
      </w:rPr>
    </w:lvl>
    <w:lvl w:ilvl="8" w:tplc="D56AD64E" w:tentative="1">
      <w:start w:val="1"/>
      <w:numFmt w:val="bullet"/>
      <w:lvlText w:val="•"/>
      <w:lvlJc w:val="left"/>
      <w:pPr>
        <w:tabs>
          <w:tab w:val="num" w:pos="6759"/>
        </w:tabs>
        <w:ind w:left="6759" w:hanging="360"/>
      </w:pPr>
      <w:rPr>
        <w:rFonts w:ascii="Arial" w:hAnsi="Arial" w:hint="default"/>
      </w:rPr>
    </w:lvl>
  </w:abstractNum>
  <w:abstractNum w:abstractNumId="36" w15:restartNumberingAfterBreak="0">
    <w:nsid w:val="65C86972"/>
    <w:multiLevelType w:val="hybridMultilevel"/>
    <w:tmpl w:val="EF60E5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82B19CB"/>
    <w:multiLevelType w:val="hybridMultilevel"/>
    <w:tmpl w:val="359E384C"/>
    <w:lvl w:ilvl="0" w:tplc="48043108">
      <w:start w:val="1"/>
      <w:numFmt w:val="decimal"/>
      <w:lvlText w:val="%1."/>
      <w:lvlJc w:val="left"/>
      <w:pPr>
        <w:ind w:left="360" w:hanging="360"/>
      </w:pPr>
      <w:rPr>
        <w:strike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8" w15:restartNumberingAfterBreak="0">
    <w:nsid w:val="6AFA48A5"/>
    <w:multiLevelType w:val="hybridMultilevel"/>
    <w:tmpl w:val="3E2221D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8547E6"/>
    <w:multiLevelType w:val="hybridMultilevel"/>
    <w:tmpl w:val="9F3404D0"/>
    <w:lvl w:ilvl="0" w:tplc="89D2AEF6">
      <w:start w:val="1"/>
      <w:numFmt w:val="upperRoman"/>
      <w:lvlText w:val="%1."/>
      <w:lvlJc w:val="left"/>
      <w:pPr>
        <w:tabs>
          <w:tab w:val="num" w:pos="1080"/>
        </w:tabs>
        <w:ind w:left="1080" w:hanging="72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DFA64E9"/>
    <w:multiLevelType w:val="hybridMultilevel"/>
    <w:tmpl w:val="70E22AB2"/>
    <w:lvl w:ilvl="0" w:tplc="645EFEFA">
      <w:start w:val="1"/>
      <w:numFmt w:val="upperRoman"/>
      <w:lvlText w:val="%1."/>
      <w:lvlJc w:val="left"/>
      <w:pPr>
        <w:tabs>
          <w:tab w:val="num" w:pos="1080"/>
        </w:tabs>
        <w:ind w:left="1080" w:hanging="72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074639D"/>
    <w:multiLevelType w:val="hybridMultilevel"/>
    <w:tmpl w:val="F692C1A2"/>
    <w:lvl w:ilvl="0" w:tplc="240A000D">
      <w:start w:val="1"/>
      <w:numFmt w:val="bullet"/>
      <w:lvlText w:val=""/>
      <w:lvlJc w:val="left"/>
      <w:pPr>
        <w:ind w:left="1500" w:hanging="360"/>
      </w:pPr>
      <w:rPr>
        <w:rFonts w:ascii="Wingdings" w:hAnsi="Wingdings" w:hint="default"/>
      </w:rPr>
    </w:lvl>
    <w:lvl w:ilvl="1" w:tplc="240A0003">
      <w:start w:val="1"/>
      <w:numFmt w:val="bullet"/>
      <w:lvlText w:val="o"/>
      <w:lvlJc w:val="left"/>
      <w:pPr>
        <w:ind w:left="2220" w:hanging="360"/>
      </w:pPr>
      <w:rPr>
        <w:rFonts w:ascii="Courier New" w:hAnsi="Courier New" w:cs="Courier New" w:hint="default"/>
      </w:rPr>
    </w:lvl>
    <w:lvl w:ilvl="2" w:tplc="240A0005">
      <w:start w:val="1"/>
      <w:numFmt w:val="bullet"/>
      <w:lvlText w:val=""/>
      <w:lvlJc w:val="left"/>
      <w:pPr>
        <w:ind w:left="2940" w:hanging="360"/>
      </w:pPr>
      <w:rPr>
        <w:rFonts w:ascii="Wingdings" w:hAnsi="Wingdings" w:hint="default"/>
      </w:rPr>
    </w:lvl>
    <w:lvl w:ilvl="3" w:tplc="240A0001">
      <w:start w:val="1"/>
      <w:numFmt w:val="bullet"/>
      <w:lvlText w:val=""/>
      <w:lvlJc w:val="left"/>
      <w:pPr>
        <w:ind w:left="3660" w:hanging="360"/>
      </w:pPr>
      <w:rPr>
        <w:rFonts w:ascii="Symbol" w:hAnsi="Symbol" w:hint="default"/>
      </w:rPr>
    </w:lvl>
    <w:lvl w:ilvl="4" w:tplc="240A0003">
      <w:start w:val="1"/>
      <w:numFmt w:val="bullet"/>
      <w:lvlText w:val="o"/>
      <w:lvlJc w:val="left"/>
      <w:pPr>
        <w:ind w:left="4380" w:hanging="360"/>
      </w:pPr>
      <w:rPr>
        <w:rFonts w:ascii="Courier New" w:hAnsi="Courier New" w:cs="Courier New" w:hint="default"/>
      </w:rPr>
    </w:lvl>
    <w:lvl w:ilvl="5" w:tplc="240A0005">
      <w:start w:val="1"/>
      <w:numFmt w:val="bullet"/>
      <w:lvlText w:val=""/>
      <w:lvlJc w:val="left"/>
      <w:pPr>
        <w:ind w:left="5100" w:hanging="360"/>
      </w:pPr>
      <w:rPr>
        <w:rFonts w:ascii="Wingdings" w:hAnsi="Wingdings" w:hint="default"/>
      </w:rPr>
    </w:lvl>
    <w:lvl w:ilvl="6" w:tplc="240A0001">
      <w:start w:val="1"/>
      <w:numFmt w:val="bullet"/>
      <w:lvlText w:val=""/>
      <w:lvlJc w:val="left"/>
      <w:pPr>
        <w:ind w:left="5820" w:hanging="360"/>
      </w:pPr>
      <w:rPr>
        <w:rFonts w:ascii="Symbol" w:hAnsi="Symbol" w:hint="default"/>
      </w:rPr>
    </w:lvl>
    <w:lvl w:ilvl="7" w:tplc="240A0003">
      <w:start w:val="1"/>
      <w:numFmt w:val="bullet"/>
      <w:lvlText w:val="o"/>
      <w:lvlJc w:val="left"/>
      <w:pPr>
        <w:ind w:left="6540" w:hanging="360"/>
      </w:pPr>
      <w:rPr>
        <w:rFonts w:ascii="Courier New" w:hAnsi="Courier New" w:cs="Courier New" w:hint="default"/>
      </w:rPr>
    </w:lvl>
    <w:lvl w:ilvl="8" w:tplc="240A0005">
      <w:start w:val="1"/>
      <w:numFmt w:val="bullet"/>
      <w:lvlText w:val=""/>
      <w:lvlJc w:val="left"/>
      <w:pPr>
        <w:ind w:left="7260" w:hanging="360"/>
      </w:pPr>
      <w:rPr>
        <w:rFonts w:ascii="Wingdings" w:hAnsi="Wingdings" w:hint="default"/>
      </w:rPr>
    </w:lvl>
  </w:abstractNum>
  <w:abstractNum w:abstractNumId="42" w15:restartNumberingAfterBreak="0">
    <w:nsid w:val="72044BA6"/>
    <w:multiLevelType w:val="hybridMultilevel"/>
    <w:tmpl w:val="07EEA1E4"/>
    <w:lvl w:ilvl="0" w:tplc="FEE6611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A7813B2"/>
    <w:multiLevelType w:val="hybridMultilevel"/>
    <w:tmpl w:val="C8E461B0"/>
    <w:lvl w:ilvl="0" w:tplc="A26EE73E">
      <w:numFmt w:val="bullet"/>
      <w:lvlText w:val="-"/>
      <w:lvlJc w:val="left"/>
      <w:pPr>
        <w:ind w:left="720" w:hanging="360"/>
      </w:pPr>
      <w:rPr>
        <w:rFonts w:ascii="Calibri" w:eastAsia="Calibri" w:hAnsi="Calibri" w:cs="Calibri" w:hint="default"/>
        <w:sz w:val="24"/>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8"/>
  </w:num>
  <w:num w:numId="4">
    <w:abstractNumId w:val="9"/>
  </w:num>
  <w:num w:numId="5">
    <w:abstractNumId w:val="17"/>
  </w:num>
  <w:num w:numId="6">
    <w:abstractNumId w:val="32"/>
  </w:num>
  <w:num w:numId="7">
    <w:abstractNumId w:val="10"/>
  </w:num>
  <w:num w:numId="8">
    <w:abstractNumId w:val="18"/>
  </w:num>
  <w:num w:numId="9">
    <w:abstractNumId w:val="7"/>
  </w:num>
  <w:num w:numId="10">
    <w:abstractNumId w:val="22"/>
  </w:num>
  <w:num w:numId="11">
    <w:abstractNumId w:val="14"/>
  </w:num>
  <w:num w:numId="12">
    <w:abstractNumId w:val="33"/>
  </w:num>
  <w:num w:numId="13">
    <w:abstractNumId w:val="39"/>
  </w:num>
  <w:num w:numId="14">
    <w:abstractNumId w:val="40"/>
  </w:num>
  <w:num w:numId="15">
    <w:abstractNumId w:val="1"/>
  </w:num>
  <w:num w:numId="16">
    <w:abstractNumId w:val="23"/>
  </w:num>
  <w:num w:numId="17">
    <w:abstractNumId w:val="4"/>
  </w:num>
  <w:num w:numId="18">
    <w:abstractNumId w:val="25"/>
  </w:num>
  <w:num w:numId="19">
    <w:abstractNumId w:val="28"/>
  </w:num>
  <w:num w:numId="20">
    <w:abstractNumId w:val="0"/>
  </w:num>
  <w:num w:numId="21">
    <w:abstractNumId w:val="11"/>
  </w:num>
  <w:num w:numId="22">
    <w:abstractNumId w:val="20"/>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12"/>
  </w:num>
  <w:num w:numId="26">
    <w:abstractNumId w:val="30"/>
  </w:num>
  <w:num w:numId="27">
    <w:abstractNumId w:val="27"/>
  </w:num>
  <w:num w:numId="28">
    <w:abstractNumId w:val="41"/>
  </w:num>
  <w:num w:numId="29">
    <w:abstractNumId w:val="1"/>
  </w:num>
  <w:num w:numId="30">
    <w:abstractNumId w:val="43"/>
  </w:num>
  <w:num w:numId="31">
    <w:abstractNumId w:val="24"/>
  </w:num>
  <w:num w:numId="32">
    <w:abstractNumId w:val="36"/>
  </w:num>
  <w:num w:numId="33">
    <w:abstractNumId w:val="26"/>
  </w:num>
  <w:num w:numId="34">
    <w:abstractNumId w:val="35"/>
  </w:num>
  <w:num w:numId="35">
    <w:abstractNumId w:val="15"/>
  </w:num>
  <w:num w:numId="36">
    <w:abstractNumId w:val="5"/>
  </w:num>
  <w:num w:numId="37">
    <w:abstractNumId w:val="2"/>
  </w:num>
  <w:num w:numId="38">
    <w:abstractNumId w:val="29"/>
  </w:num>
  <w:num w:numId="39">
    <w:abstractNumId w:val="34"/>
  </w:num>
  <w:num w:numId="40">
    <w:abstractNumId w:val="16"/>
  </w:num>
  <w:num w:numId="41">
    <w:abstractNumId w:val="42"/>
  </w:num>
  <w:num w:numId="42">
    <w:abstractNumId w:val="19"/>
  </w:num>
  <w:num w:numId="43">
    <w:abstractNumId w:val="3"/>
  </w:num>
  <w:num w:numId="44">
    <w:abstractNumId w:val="13"/>
  </w:num>
  <w:num w:numId="45">
    <w:abstractNumId w:val="21"/>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80"/>
    <w:rsid w:val="00003D24"/>
    <w:rsid w:val="00006F83"/>
    <w:rsid w:val="00007F07"/>
    <w:rsid w:val="00013C42"/>
    <w:rsid w:val="00014D67"/>
    <w:rsid w:val="00016A94"/>
    <w:rsid w:val="00021FCC"/>
    <w:rsid w:val="00024F34"/>
    <w:rsid w:val="0002546A"/>
    <w:rsid w:val="00032CBF"/>
    <w:rsid w:val="0004205E"/>
    <w:rsid w:val="00047A6E"/>
    <w:rsid w:val="00050524"/>
    <w:rsid w:val="00060725"/>
    <w:rsid w:val="00066463"/>
    <w:rsid w:val="000665B1"/>
    <w:rsid w:val="0007636F"/>
    <w:rsid w:val="00081CEE"/>
    <w:rsid w:val="00084B49"/>
    <w:rsid w:val="00086B16"/>
    <w:rsid w:val="00092C0A"/>
    <w:rsid w:val="000935DD"/>
    <w:rsid w:val="00094D9F"/>
    <w:rsid w:val="000A35DA"/>
    <w:rsid w:val="000A3E34"/>
    <w:rsid w:val="000B30A6"/>
    <w:rsid w:val="000B39C5"/>
    <w:rsid w:val="000B50F1"/>
    <w:rsid w:val="000B64F5"/>
    <w:rsid w:val="000C41BE"/>
    <w:rsid w:val="000C614C"/>
    <w:rsid w:val="000C6C52"/>
    <w:rsid w:val="000D1904"/>
    <w:rsid w:val="000D2DA8"/>
    <w:rsid w:val="000D512E"/>
    <w:rsid w:val="000E0152"/>
    <w:rsid w:val="000E370D"/>
    <w:rsid w:val="000E4E08"/>
    <w:rsid w:val="000E65A4"/>
    <w:rsid w:val="00100B72"/>
    <w:rsid w:val="00104D8F"/>
    <w:rsid w:val="00105533"/>
    <w:rsid w:val="001072FB"/>
    <w:rsid w:val="00116659"/>
    <w:rsid w:val="001175AA"/>
    <w:rsid w:val="00125A3A"/>
    <w:rsid w:val="00126916"/>
    <w:rsid w:val="00126980"/>
    <w:rsid w:val="001303DD"/>
    <w:rsid w:val="00133255"/>
    <w:rsid w:val="001348DA"/>
    <w:rsid w:val="001365B5"/>
    <w:rsid w:val="00136CD0"/>
    <w:rsid w:val="0013737F"/>
    <w:rsid w:val="00142BF2"/>
    <w:rsid w:val="001447C1"/>
    <w:rsid w:val="00145BCA"/>
    <w:rsid w:val="0015216F"/>
    <w:rsid w:val="00153523"/>
    <w:rsid w:val="00157729"/>
    <w:rsid w:val="00164587"/>
    <w:rsid w:val="001665A3"/>
    <w:rsid w:val="00172786"/>
    <w:rsid w:val="001743EF"/>
    <w:rsid w:val="00174A31"/>
    <w:rsid w:val="00177232"/>
    <w:rsid w:val="00187186"/>
    <w:rsid w:val="001876DD"/>
    <w:rsid w:val="001978EB"/>
    <w:rsid w:val="001A2AF1"/>
    <w:rsid w:val="001C013E"/>
    <w:rsid w:val="001D1743"/>
    <w:rsid w:val="001D17CF"/>
    <w:rsid w:val="001D3AA8"/>
    <w:rsid w:val="001D5B66"/>
    <w:rsid w:val="001D60F3"/>
    <w:rsid w:val="001E2543"/>
    <w:rsid w:val="001E6C60"/>
    <w:rsid w:val="001F238A"/>
    <w:rsid w:val="002171A2"/>
    <w:rsid w:val="002217D1"/>
    <w:rsid w:val="002264B8"/>
    <w:rsid w:val="0023339B"/>
    <w:rsid w:val="00235361"/>
    <w:rsid w:val="0023584E"/>
    <w:rsid w:val="00236F62"/>
    <w:rsid w:val="00237D76"/>
    <w:rsid w:val="00251FCE"/>
    <w:rsid w:val="00252F13"/>
    <w:rsid w:val="00254313"/>
    <w:rsid w:val="00255FB5"/>
    <w:rsid w:val="0026513E"/>
    <w:rsid w:val="002729A5"/>
    <w:rsid w:val="002862C1"/>
    <w:rsid w:val="00286449"/>
    <w:rsid w:val="00287EC3"/>
    <w:rsid w:val="00293F29"/>
    <w:rsid w:val="002941D1"/>
    <w:rsid w:val="002A2A12"/>
    <w:rsid w:val="002A4C9F"/>
    <w:rsid w:val="002C05D0"/>
    <w:rsid w:val="002C28AA"/>
    <w:rsid w:val="002C6429"/>
    <w:rsid w:val="002D096D"/>
    <w:rsid w:val="002D11FE"/>
    <w:rsid w:val="002D1371"/>
    <w:rsid w:val="002D2CB2"/>
    <w:rsid w:val="002D35EC"/>
    <w:rsid w:val="002D3FE3"/>
    <w:rsid w:val="002D5E8B"/>
    <w:rsid w:val="002E4A97"/>
    <w:rsid w:val="002E71C4"/>
    <w:rsid w:val="002E7563"/>
    <w:rsid w:val="002F226A"/>
    <w:rsid w:val="00301DC2"/>
    <w:rsid w:val="0030629C"/>
    <w:rsid w:val="00321567"/>
    <w:rsid w:val="003227FD"/>
    <w:rsid w:val="00325A55"/>
    <w:rsid w:val="003343DB"/>
    <w:rsid w:val="00336655"/>
    <w:rsid w:val="00340025"/>
    <w:rsid w:val="00342B3C"/>
    <w:rsid w:val="00346554"/>
    <w:rsid w:val="003503EB"/>
    <w:rsid w:val="00350767"/>
    <w:rsid w:val="00350E4B"/>
    <w:rsid w:val="003533A1"/>
    <w:rsid w:val="003651DE"/>
    <w:rsid w:val="00367CB8"/>
    <w:rsid w:val="003711C0"/>
    <w:rsid w:val="00372532"/>
    <w:rsid w:val="00373197"/>
    <w:rsid w:val="0038390A"/>
    <w:rsid w:val="003A0BBF"/>
    <w:rsid w:val="003A3C08"/>
    <w:rsid w:val="003A6449"/>
    <w:rsid w:val="003A73D2"/>
    <w:rsid w:val="003B3F46"/>
    <w:rsid w:val="003B4DDE"/>
    <w:rsid w:val="003B625C"/>
    <w:rsid w:val="003C0722"/>
    <w:rsid w:val="003C0C28"/>
    <w:rsid w:val="003C0F32"/>
    <w:rsid w:val="003C6CAC"/>
    <w:rsid w:val="003D3516"/>
    <w:rsid w:val="003E1394"/>
    <w:rsid w:val="003E3AB7"/>
    <w:rsid w:val="003E582F"/>
    <w:rsid w:val="00401B59"/>
    <w:rsid w:val="00405CE5"/>
    <w:rsid w:val="00410E37"/>
    <w:rsid w:val="00412EC5"/>
    <w:rsid w:val="0041604F"/>
    <w:rsid w:val="00427DD9"/>
    <w:rsid w:val="004317DB"/>
    <w:rsid w:val="00432C5C"/>
    <w:rsid w:val="00432E99"/>
    <w:rsid w:val="00437C19"/>
    <w:rsid w:val="00461D1F"/>
    <w:rsid w:val="00470148"/>
    <w:rsid w:val="00470526"/>
    <w:rsid w:val="004848A4"/>
    <w:rsid w:val="004A0755"/>
    <w:rsid w:val="004A6BE3"/>
    <w:rsid w:val="004B078F"/>
    <w:rsid w:val="004B48E8"/>
    <w:rsid w:val="004C269E"/>
    <w:rsid w:val="004C4371"/>
    <w:rsid w:val="004C5FDE"/>
    <w:rsid w:val="004C7D38"/>
    <w:rsid w:val="004D0D86"/>
    <w:rsid w:val="004D10C6"/>
    <w:rsid w:val="004D2643"/>
    <w:rsid w:val="004D294E"/>
    <w:rsid w:val="004D3D03"/>
    <w:rsid w:val="004D4586"/>
    <w:rsid w:val="004D5C0D"/>
    <w:rsid w:val="004D6329"/>
    <w:rsid w:val="004E034B"/>
    <w:rsid w:val="004E17FC"/>
    <w:rsid w:val="004E274E"/>
    <w:rsid w:val="004E517F"/>
    <w:rsid w:val="004F2EC9"/>
    <w:rsid w:val="004F778E"/>
    <w:rsid w:val="004F7A38"/>
    <w:rsid w:val="0050148F"/>
    <w:rsid w:val="00502F91"/>
    <w:rsid w:val="00520AAA"/>
    <w:rsid w:val="00520B2A"/>
    <w:rsid w:val="0053129B"/>
    <w:rsid w:val="005338E4"/>
    <w:rsid w:val="00536A29"/>
    <w:rsid w:val="0054286C"/>
    <w:rsid w:val="00543E5A"/>
    <w:rsid w:val="00545A32"/>
    <w:rsid w:val="0054645F"/>
    <w:rsid w:val="005616ED"/>
    <w:rsid w:val="005629D0"/>
    <w:rsid w:val="00564A4E"/>
    <w:rsid w:val="0057324C"/>
    <w:rsid w:val="005815B6"/>
    <w:rsid w:val="00583823"/>
    <w:rsid w:val="00584E85"/>
    <w:rsid w:val="005871DA"/>
    <w:rsid w:val="00587695"/>
    <w:rsid w:val="0059054D"/>
    <w:rsid w:val="0059316B"/>
    <w:rsid w:val="0059405C"/>
    <w:rsid w:val="005949A8"/>
    <w:rsid w:val="005A077D"/>
    <w:rsid w:val="005A4320"/>
    <w:rsid w:val="005A498D"/>
    <w:rsid w:val="005C19CA"/>
    <w:rsid w:val="005C4522"/>
    <w:rsid w:val="005D49BF"/>
    <w:rsid w:val="005F30C3"/>
    <w:rsid w:val="005F7863"/>
    <w:rsid w:val="0060353B"/>
    <w:rsid w:val="00620876"/>
    <w:rsid w:val="00624FD0"/>
    <w:rsid w:val="00630C5E"/>
    <w:rsid w:val="006315B4"/>
    <w:rsid w:val="00635AC3"/>
    <w:rsid w:val="00636FFB"/>
    <w:rsid w:val="00637B90"/>
    <w:rsid w:val="006470FE"/>
    <w:rsid w:val="00654CCF"/>
    <w:rsid w:val="006607D5"/>
    <w:rsid w:val="00665F82"/>
    <w:rsid w:val="0067186C"/>
    <w:rsid w:val="00671E11"/>
    <w:rsid w:val="00674690"/>
    <w:rsid w:val="006779DA"/>
    <w:rsid w:val="00687EB3"/>
    <w:rsid w:val="00692980"/>
    <w:rsid w:val="00693246"/>
    <w:rsid w:val="0069506F"/>
    <w:rsid w:val="00696582"/>
    <w:rsid w:val="00697125"/>
    <w:rsid w:val="006A1DBB"/>
    <w:rsid w:val="006B4E40"/>
    <w:rsid w:val="006C103A"/>
    <w:rsid w:val="006C482C"/>
    <w:rsid w:val="006C4E6A"/>
    <w:rsid w:val="006C50E8"/>
    <w:rsid w:val="006D464D"/>
    <w:rsid w:val="006D7D72"/>
    <w:rsid w:val="006E6F11"/>
    <w:rsid w:val="006F0B6B"/>
    <w:rsid w:val="006F144D"/>
    <w:rsid w:val="006F40F2"/>
    <w:rsid w:val="006F461B"/>
    <w:rsid w:val="006F622C"/>
    <w:rsid w:val="00700FF6"/>
    <w:rsid w:val="00704D44"/>
    <w:rsid w:val="00713AA7"/>
    <w:rsid w:val="00715A68"/>
    <w:rsid w:val="00715DD5"/>
    <w:rsid w:val="00715ECF"/>
    <w:rsid w:val="00717A04"/>
    <w:rsid w:val="00717BFE"/>
    <w:rsid w:val="007208C5"/>
    <w:rsid w:val="00725BB4"/>
    <w:rsid w:val="0073180A"/>
    <w:rsid w:val="00732997"/>
    <w:rsid w:val="007336C3"/>
    <w:rsid w:val="00735033"/>
    <w:rsid w:val="00756485"/>
    <w:rsid w:val="0075705D"/>
    <w:rsid w:val="00760A14"/>
    <w:rsid w:val="00760CF9"/>
    <w:rsid w:val="0076123F"/>
    <w:rsid w:val="007626E1"/>
    <w:rsid w:val="00767F65"/>
    <w:rsid w:val="00770D6C"/>
    <w:rsid w:val="00772B10"/>
    <w:rsid w:val="00783515"/>
    <w:rsid w:val="00787C94"/>
    <w:rsid w:val="00791BCB"/>
    <w:rsid w:val="007921BD"/>
    <w:rsid w:val="00793A02"/>
    <w:rsid w:val="0079451B"/>
    <w:rsid w:val="00795C6B"/>
    <w:rsid w:val="007A1566"/>
    <w:rsid w:val="007A3995"/>
    <w:rsid w:val="007A3C30"/>
    <w:rsid w:val="007A45C3"/>
    <w:rsid w:val="007A5AC5"/>
    <w:rsid w:val="007B622D"/>
    <w:rsid w:val="007C4288"/>
    <w:rsid w:val="007C484E"/>
    <w:rsid w:val="007D4853"/>
    <w:rsid w:val="007D57C4"/>
    <w:rsid w:val="007E0429"/>
    <w:rsid w:val="007E1A4D"/>
    <w:rsid w:val="007E41DE"/>
    <w:rsid w:val="007E4AF7"/>
    <w:rsid w:val="007E4CE3"/>
    <w:rsid w:val="007F2B1F"/>
    <w:rsid w:val="00802F7A"/>
    <w:rsid w:val="00804566"/>
    <w:rsid w:val="00806A1C"/>
    <w:rsid w:val="0080773A"/>
    <w:rsid w:val="008142B3"/>
    <w:rsid w:val="008173F3"/>
    <w:rsid w:val="0082117C"/>
    <w:rsid w:val="008227E9"/>
    <w:rsid w:val="008252C5"/>
    <w:rsid w:val="00831860"/>
    <w:rsid w:val="00832F2D"/>
    <w:rsid w:val="00836C6A"/>
    <w:rsid w:val="00841C9F"/>
    <w:rsid w:val="0084294E"/>
    <w:rsid w:val="00843EFF"/>
    <w:rsid w:val="008442A5"/>
    <w:rsid w:val="00845001"/>
    <w:rsid w:val="008477A9"/>
    <w:rsid w:val="0085416A"/>
    <w:rsid w:val="00856B0F"/>
    <w:rsid w:val="0087186A"/>
    <w:rsid w:val="00872C56"/>
    <w:rsid w:val="00874F67"/>
    <w:rsid w:val="00876AC2"/>
    <w:rsid w:val="00883F43"/>
    <w:rsid w:val="00884C98"/>
    <w:rsid w:val="00884CE2"/>
    <w:rsid w:val="00885E7D"/>
    <w:rsid w:val="0089363F"/>
    <w:rsid w:val="00894D05"/>
    <w:rsid w:val="00896ED8"/>
    <w:rsid w:val="008A209D"/>
    <w:rsid w:val="008A2436"/>
    <w:rsid w:val="008A4E8C"/>
    <w:rsid w:val="008A563D"/>
    <w:rsid w:val="008A6F3F"/>
    <w:rsid w:val="008B3B0A"/>
    <w:rsid w:val="008C2BA0"/>
    <w:rsid w:val="008C5902"/>
    <w:rsid w:val="008C69F2"/>
    <w:rsid w:val="008D1D44"/>
    <w:rsid w:val="008D3E6C"/>
    <w:rsid w:val="008E04EC"/>
    <w:rsid w:val="008E2BCF"/>
    <w:rsid w:val="008E43F4"/>
    <w:rsid w:val="008F42F6"/>
    <w:rsid w:val="008F5282"/>
    <w:rsid w:val="00912BAC"/>
    <w:rsid w:val="00920C01"/>
    <w:rsid w:val="0092113B"/>
    <w:rsid w:val="00922B16"/>
    <w:rsid w:val="00925058"/>
    <w:rsid w:val="00926CDB"/>
    <w:rsid w:val="00930113"/>
    <w:rsid w:val="009356EC"/>
    <w:rsid w:val="009376DD"/>
    <w:rsid w:val="00937FB2"/>
    <w:rsid w:val="0094114F"/>
    <w:rsid w:val="0095690D"/>
    <w:rsid w:val="009576DD"/>
    <w:rsid w:val="009609C5"/>
    <w:rsid w:val="00965B1A"/>
    <w:rsid w:val="00971B57"/>
    <w:rsid w:val="00976933"/>
    <w:rsid w:val="00981893"/>
    <w:rsid w:val="00984974"/>
    <w:rsid w:val="00986438"/>
    <w:rsid w:val="00987DBF"/>
    <w:rsid w:val="009970F9"/>
    <w:rsid w:val="009A5590"/>
    <w:rsid w:val="009C3837"/>
    <w:rsid w:val="009C44BD"/>
    <w:rsid w:val="009C537F"/>
    <w:rsid w:val="009D0585"/>
    <w:rsid w:val="009D2BB3"/>
    <w:rsid w:val="009E0846"/>
    <w:rsid w:val="009E1EF4"/>
    <w:rsid w:val="009E1F32"/>
    <w:rsid w:val="009E4BD5"/>
    <w:rsid w:val="009F1BE0"/>
    <w:rsid w:val="009F7CED"/>
    <w:rsid w:val="00A04569"/>
    <w:rsid w:val="00A0736A"/>
    <w:rsid w:val="00A07DE7"/>
    <w:rsid w:val="00A120D6"/>
    <w:rsid w:val="00A1301A"/>
    <w:rsid w:val="00A14C37"/>
    <w:rsid w:val="00A161B9"/>
    <w:rsid w:val="00A219D7"/>
    <w:rsid w:val="00A226CA"/>
    <w:rsid w:val="00A251D0"/>
    <w:rsid w:val="00A2785C"/>
    <w:rsid w:val="00A279AE"/>
    <w:rsid w:val="00A30D3D"/>
    <w:rsid w:val="00A33DCF"/>
    <w:rsid w:val="00A377FE"/>
    <w:rsid w:val="00A4128C"/>
    <w:rsid w:val="00A41AEF"/>
    <w:rsid w:val="00A447B3"/>
    <w:rsid w:val="00A500DD"/>
    <w:rsid w:val="00A52C3F"/>
    <w:rsid w:val="00A55DB6"/>
    <w:rsid w:val="00A61784"/>
    <w:rsid w:val="00A64120"/>
    <w:rsid w:val="00A72973"/>
    <w:rsid w:val="00A74AFD"/>
    <w:rsid w:val="00A80613"/>
    <w:rsid w:val="00A80BBC"/>
    <w:rsid w:val="00A83A98"/>
    <w:rsid w:val="00A85AEA"/>
    <w:rsid w:val="00A94019"/>
    <w:rsid w:val="00A961BE"/>
    <w:rsid w:val="00AA28E8"/>
    <w:rsid w:val="00AB0708"/>
    <w:rsid w:val="00AB0C45"/>
    <w:rsid w:val="00AB6652"/>
    <w:rsid w:val="00AC1AF8"/>
    <w:rsid w:val="00AC447D"/>
    <w:rsid w:val="00AD5446"/>
    <w:rsid w:val="00AD623F"/>
    <w:rsid w:val="00AE03F3"/>
    <w:rsid w:val="00AE2FC6"/>
    <w:rsid w:val="00AF5E71"/>
    <w:rsid w:val="00B0747E"/>
    <w:rsid w:val="00B12D8C"/>
    <w:rsid w:val="00B13AE3"/>
    <w:rsid w:val="00B25550"/>
    <w:rsid w:val="00B30DCD"/>
    <w:rsid w:val="00B377D3"/>
    <w:rsid w:val="00B4178F"/>
    <w:rsid w:val="00B4216E"/>
    <w:rsid w:val="00B448DC"/>
    <w:rsid w:val="00B463AC"/>
    <w:rsid w:val="00B51095"/>
    <w:rsid w:val="00B6123C"/>
    <w:rsid w:val="00B61CA6"/>
    <w:rsid w:val="00B65F1B"/>
    <w:rsid w:val="00B66D03"/>
    <w:rsid w:val="00B7000F"/>
    <w:rsid w:val="00B729FC"/>
    <w:rsid w:val="00B73EC6"/>
    <w:rsid w:val="00B766E4"/>
    <w:rsid w:val="00B8088E"/>
    <w:rsid w:val="00B8326D"/>
    <w:rsid w:val="00B84AF8"/>
    <w:rsid w:val="00B937B6"/>
    <w:rsid w:val="00BA450F"/>
    <w:rsid w:val="00BB545F"/>
    <w:rsid w:val="00BC0996"/>
    <w:rsid w:val="00BD4B65"/>
    <w:rsid w:val="00BE280C"/>
    <w:rsid w:val="00BF054E"/>
    <w:rsid w:val="00BF0DB9"/>
    <w:rsid w:val="00BF41BE"/>
    <w:rsid w:val="00C12B93"/>
    <w:rsid w:val="00C134C3"/>
    <w:rsid w:val="00C26C14"/>
    <w:rsid w:val="00C27D76"/>
    <w:rsid w:val="00C31D59"/>
    <w:rsid w:val="00C36892"/>
    <w:rsid w:val="00C4009A"/>
    <w:rsid w:val="00C401C2"/>
    <w:rsid w:val="00C46330"/>
    <w:rsid w:val="00C47F73"/>
    <w:rsid w:val="00C52D3A"/>
    <w:rsid w:val="00C52E86"/>
    <w:rsid w:val="00C53974"/>
    <w:rsid w:val="00C56F47"/>
    <w:rsid w:val="00C6077B"/>
    <w:rsid w:val="00C61441"/>
    <w:rsid w:val="00C628F5"/>
    <w:rsid w:val="00C7294E"/>
    <w:rsid w:val="00C91F90"/>
    <w:rsid w:val="00CA50D4"/>
    <w:rsid w:val="00CA57DF"/>
    <w:rsid w:val="00CB0063"/>
    <w:rsid w:val="00CB4D37"/>
    <w:rsid w:val="00CB522D"/>
    <w:rsid w:val="00CB66F7"/>
    <w:rsid w:val="00CC0C62"/>
    <w:rsid w:val="00CC259C"/>
    <w:rsid w:val="00CC42D1"/>
    <w:rsid w:val="00CC5B3E"/>
    <w:rsid w:val="00CD730B"/>
    <w:rsid w:val="00CE1A87"/>
    <w:rsid w:val="00CE7A5B"/>
    <w:rsid w:val="00CF25EF"/>
    <w:rsid w:val="00D04A96"/>
    <w:rsid w:val="00D05B67"/>
    <w:rsid w:val="00D05D52"/>
    <w:rsid w:val="00D24980"/>
    <w:rsid w:val="00D26D53"/>
    <w:rsid w:val="00D31F43"/>
    <w:rsid w:val="00D40E59"/>
    <w:rsid w:val="00D415E6"/>
    <w:rsid w:val="00D444C5"/>
    <w:rsid w:val="00D530DC"/>
    <w:rsid w:val="00D62023"/>
    <w:rsid w:val="00D7070F"/>
    <w:rsid w:val="00D709DD"/>
    <w:rsid w:val="00D8294A"/>
    <w:rsid w:val="00D83F98"/>
    <w:rsid w:val="00D84A75"/>
    <w:rsid w:val="00D85F90"/>
    <w:rsid w:val="00D87264"/>
    <w:rsid w:val="00D90649"/>
    <w:rsid w:val="00D91E89"/>
    <w:rsid w:val="00D9213D"/>
    <w:rsid w:val="00D965B1"/>
    <w:rsid w:val="00D97DF9"/>
    <w:rsid w:val="00DA5F23"/>
    <w:rsid w:val="00DA6526"/>
    <w:rsid w:val="00DA6C54"/>
    <w:rsid w:val="00DC54A3"/>
    <w:rsid w:val="00DD181C"/>
    <w:rsid w:val="00DD2F2C"/>
    <w:rsid w:val="00DD48D9"/>
    <w:rsid w:val="00DE1540"/>
    <w:rsid w:val="00DE520C"/>
    <w:rsid w:val="00DF1E66"/>
    <w:rsid w:val="00DF60FD"/>
    <w:rsid w:val="00DF6410"/>
    <w:rsid w:val="00E007F7"/>
    <w:rsid w:val="00E00F41"/>
    <w:rsid w:val="00E05F18"/>
    <w:rsid w:val="00E06A27"/>
    <w:rsid w:val="00E12202"/>
    <w:rsid w:val="00E242C5"/>
    <w:rsid w:val="00E24673"/>
    <w:rsid w:val="00E24F26"/>
    <w:rsid w:val="00E261B4"/>
    <w:rsid w:val="00E31E85"/>
    <w:rsid w:val="00E34647"/>
    <w:rsid w:val="00E407FF"/>
    <w:rsid w:val="00E40C34"/>
    <w:rsid w:val="00E41E2C"/>
    <w:rsid w:val="00E43924"/>
    <w:rsid w:val="00E44207"/>
    <w:rsid w:val="00E65EFC"/>
    <w:rsid w:val="00E66C57"/>
    <w:rsid w:val="00E66D00"/>
    <w:rsid w:val="00E7224C"/>
    <w:rsid w:val="00E729F2"/>
    <w:rsid w:val="00E75DBD"/>
    <w:rsid w:val="00E7700B"/>
    <w:rsid w:val="00E805D3"/>
    <w:rsid w:val="00E80826"/>
    <w:rsid w:val="00E84DA1"/>
    <w:rsid w:val="00E91332"/>
    <w:rsid w:val="00EA3045"/>
    <w:rsid w:val="00EC1DE8"/>
    <w:rsid w:val="00EC35AE"/>
    <w:rsid w:val="00ED0C5C"/>
    <w:rsid w:val="00ED4708"/>
    <w:rsid w:val="00EE0D69"/>
    <w:rsid w:val="00EE0F26"/>
    <w:rsid w:val="00EE2ABB"/>
    <w:rsid w:val="00EF192B"/>
    <w:rsid w:val="00F06B8A"/>
    <w:rsid w:val="00F07A7D"/>
    <w:rsid w:val="00F153C1"/>
    <w:rsid w:val="00F16839"/>
    <w:rsid w:val="00F17303"/>
    <w:rsid w:val="00F211E7"/>
    <w:rsid w:val="00F21D37"/>
    <w:rsid w:val="00F221F0"/>
    <w:rsid w:val="00F26136"/>
    <w:rsid w:val="00F2713B"/>
    <w:rsid w:val="00F305D8"/>
    <w:rsid w:val="00F37106"/>
    <w:rsid w:val="00F445C5"/>
    <w:rsid w:val="00F44A2E"/>
    <w:rsid w:val="00F47D57"/>
    <w:rsid w:val="00F55DC4"/>
    <w:rsid w:val="00F576B3"/>
    <w:rsid w:val="00F71E23"/>
    <w:rsid w:val="00F745E1"/>
    <w:rsid w:val="00F75A79"/>
    <w:rsid w:val="00F7620E"/>
    <w:rsid w:val="00F775AD"/>
    <w:rsid w:val="00F77AFB"/>
    <w:rsid w:val="00F80E07"/>
    <w:rsid w:val="00F8206B"/>
    <w:rsid w:val="00F86314"/>
    <w:rsid w:val="00F90326"/>
    <w:rsid w:val="00F90F86"/>
    <w:rsid w:val="00F92DF0"/>
    <w:rsid w:val="00FA0454"/>
    <w:rsid w:val="00FA4A9E"/>
    <w:rsid w:val="00FB1248"/>
    <w:rsid w:val="00FB18DC"/>
    <w:rsid w:val="00FB217D"/>
    <w:rsid w:val="00FB29CC"/>
    <w:rsid w:val="00FC0522"/>
    <w:rsid w:val="00FC2DE3"/>
    <w:rsid w:val="00FD18BC"/>
    <w:rsid w:val="00FD3D04"/>
    <w:rsid w:val="00FD49A0"/>
    <w:rsid w:val="00FE21B3"/>
    <w:rsid w:val="00FE27DE"/>
    <w:rsid w:val="00FF3205"/>
    <w:rsid w:val="00FF40AB"/>
    <w:rsid w:val="00FF6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399F7C"/>
  <w15:chartTrackingRefBased/>
  <w15:docId w15:val="{CEAD664C-EC46-42FD-919D-7A1E73F4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s-ES" w:eastAsia="es-ES"/>
    </w:rPr>
  </w:style>
  <w:style w:type="paragraph" w:styleId="Ttulo1">
    <w:name w:val="heading 1"/>
    <w:basedOn w:val="Normal"/>
    <w:next w:val="Normal"/>
    <w:qFormat/>
    <w:pPr>
      <w:keepNext/>
      <w:spacing w:before="240" w:after="60"/>
      <w:outlineLvl w:val="0"/>
    </w:pPr>
    <w:rPr>
      <w:b/>
      <w:color w:val="000080"/>
      <w:spacing w:val="-8"/>
      <w:kern w:val="28"/>
      <w:sz w:val="28"/>
      <w:lang w:val="es-CO"/>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jc w:val="center"/>
      <w:outlineLvl w:val="2"/>
    </w:pPr>
    <w:rPr>
      <w:rFonts w:ascii="Tahoma" w:hAnsi="Tahoma" w:cs="Tahom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overflowPunct w:val="0"/>
      <w:autoSpaceDE w:val="0"/>
      <w:autoSpaceDN w:val="0"/>
      <w:adjustRightInd w:val="0"/>
      <w:ind w:right="902"/>
      <w:textAlignment w:val="baseline"/>
    </w:pPr>
    <w:rPr>
      <w:rFonts w:ascii="Verdana" w:hAnsi="Verdana"/>
      <w:sz w:val="18"/>
      <w:lang w:val="es-CO"/>
    </w:rPr>
  </w:style>
  <w:style w:type="paragraph" w:styleId="Sangra3detindependiente">
    <w:name w:val="Body Text Indent 3"/>
    <w:basedOn w:val="Normal"/>
    <w:pPr>
      <w:overflowPunct w:val="0"/>
      <w:autoSpaceDE w:val="0"/>
      <w:autoSpaceDN w:val="0"/>
      <w:adjustRightInd w:val="0"/>
      <w:ind w:left="709" w:hanging="349"/>
      <w:jc w:val="both"/>
      <w:textAlignment w:val="baseline"/>
    </w:pPr>
    <w:rPr>
      <w:rFonts w:ascii="Tahoma" w:hAnsi="Tahoma" w:cs="Tahoma"/>
      <w:bCs/>
      <w:sz w:val="22"/>
      <w:lang w:val="es-CO"/>
    </w:rPr>
  </w:style>
  <w:style w:type="paragraph" w:styleId="Textoindependiente">
    <w:name w:val="Body Text"/>
    <w:basedOn w:val="Normal"/>
    <w:pPr>
      <w:jc w:val="both"/>
    </w:pPr>
    <w:rPr>
      <w:rFonts w:ascii="Tahoma" w:hAnsi="Tahoma" w:cs="Tahoma"/>
      <w:iCs/>
      <w:sz w:val="18"/>
    </w:rPr>
  </w:style>
  <w:style w:type="paragraph" w:customStyle="1" w:styleId="Textoindependiente31">
    <w:name w:val="Texto independiente 31"/>
    <w:basedOn w:val="Normal"/>
    <w:pPr>
      <w:widowControl w:val="0"/>
      <w:overflowPunct w:val="0"/>
      <w:autoSpaceDE w:val="0"/>
      <w:autoSpaceDN w:val="0"/>
      <w:adjustRightInd w:val="0"/>
      <w:jc w:val="both"/>
      <w:textAlignment w:val="baseline"/>
    </w:pPr>
    <w:rPr>
      <w:b/>
      <w:sz w:val="24"/>
      <w:lang w:val="es-CO"/>
    </w:rPr>
  </w:style>
  <w:style w:type="character" w:customStyle="1" w:styleId="InitialStyle">
    <w:name w:val="InitialStyle"/>
    <w:rPr>
      <w:rFonts w:ascii="Courier New" w:hAnsi="Courier New"/>
      <w:color w:val="auto"/>
      <w:spacing w:val="0"/>
      <w:sz w:val="28"/>
    </w:rPr>
  </w:style>
  <w:style w:type="paragraph" w:styleId="Textoindependiente2">
    <w:name w:val="Body Text 2"/>
    <w:basedOn w:val="Normal"/>
    <w:rsid w:val="003227FD"/>
    <w:pPr>
      <w:spacing w:after="120" w:line="480" w:lineRule="auto"/>
    </w:pPr>
  </w:style>
  <w:style w:type="paragraph" w:styleId="Encabezado">
    <w:name w:val="header"/>
    <w:basedOn w:val="Normal"/>
    <w:rsid w:val="00A2785C"/>
    <w:pPr>
      <w:tabs>
        <w:tab w:val="center" w:pos="4252"/>
        <w:tab w:val="right" w:pos="8504"/>
      </w:tabs>
    </w:pPr>
  </w:style>
  <w:style w:type="paragraph" w:styleId="Piedepgina">
    <w:name w:val="footer"/>
    <w:basedOn w:val="Normal"/>
    <w:link w:val="PiedepginaCar"/>
    <w:uiPriority w:val="99"/>
    <w:rsid w:val="00A2785C"/>
    <w:pPr>
      <w:tabs>
        <w:tab w:val="center" w:pos="4252"/>
        <w:tab w:val="right" w:pos="8504"/>
      </w:tabs>
    </w:pPr>
  </w:style>
  <w:style w:type="character" w:styleId="Nmerodepgina">
    <w:name w:val="page number"/>
    <w:basedOn w:val="Fuentedeprrafopredeter"/>
    <w:rsid w:val="0080773A"/>
  </w:style>
  <w:style w:type="paragraph" w:styleId="NormalWeb">
    <w:name w:val="Normal (Web)"/>
    <w:basedOn w:val="Normal"/>
    <w:uiPriority w:val="99"/>
    <w:rsid w:val="00BA450F"/>
    <w:pPr>
      <w:spacing w:before="100" w:beforeAutospacing="1" w:after="100" w:afterAutospacing="1"/>
    </w:pPr>
    <w:rPr>
      <w:rFonts w:ascii="Arial Unicode MS" w:eastAsia="Arial Unicode MS" w:hAnsi="Arial Unicode MS" w:cs="Arial Unicode MS"/>
      <w:sz w:val="24"/>
      <w:szCs w:val="24"/>
    </w:rPr>
  </w:style>
  <w:style w:type="character" w:styleId="Refdecomentario">
    <w:name w:val="annotation reference"/>
    <w:semiHidden/>
    <w:rsid w:val="00885E7D"/>
    <w:rPr>
      <w:sz w:val="16"/>
      <w:szCs w:val="16"/>
    </w:rPr>
  </w:style>
  <w:style w:type="paragraph" w:styleId="Textocomentario">
    <w:name w:val="annotation text"/>
    <w:basedOn w:val="Normal"/>
    <w:semiHidden/>
    <w:rsid w:val="00885E7D"/>
  </w:style>
  <w:style w:type="paragraph" w:styleId="Asuntodelcomentario">
    <w:name w:val="annotation subject"/>
    <w:basedOn w:val="Textocomentario"/>
    <w:next w:val="Textocomentario"/>
    <w:semiHidden/>
    <w:rsid w:val="00885E7D"/>
    <w:rPr>
      <w:b/>
      <w:bCs/>
    </w:rPr>
  </w:style>
  <w:style w:type="paragraph" w:styleId="Textodeglobo">
    <w:name w:val="Balloon Text"/>
    <w:basedOn w:val="Normal"/>
    <w:semiHidden/>
    <w:rsid w:val="00885E7D"/>
    <w:rPr>
      <w:rFonts w:ascii="Tahoma" w:hAnsi="Tahoma" w:cs="Tahoma"/>
      <w:sz w:val="16"/>
      <w:szCs w:val="16"/>
    </w:rPr>
  </w:style>
  <w:style w:type="paragraph" w:customStyle="1" w:styleId="Listavistosa-nfasis11">
    <w:name w:val="Lista vistosa - Énfasis 11"/>
    <w:aliases w:val="Normal. Viñetas"/>
    <w:basedOn w:val="Normal"/>
    <w:link w:val="Listavistosa-nfasis1Car"/>
    <w:uiPriority w:val="34"/>
    <w:qFormat/>
    <w:rsid w:val="009C537F"/>
    <w:pPr>
      <w:spacing w:after="200" w:line="276" w:lineRule="auto"/>
      <w:ind w:left="720"/>
      <w:contextualSpacing/>
    </w:pPr>
    <w:rPr>
      <w:rFonts w:ascii="Calibri" w:hAnsi="Calibri"/>
      <w:sz w:val="22"/>
      <w:szCs w:val="22"/>
      <w:lang w:val="es-CO" w:eastAsia="es-CO"/>
    </w:rPr>
  </w:style>
  <w:style w:type="paragraph" w:customStyle="1" w:styleId="Default">
    <w:name w:val="Default"/>
    <w:rsid w:val="00DF1E66"/>
    <w:pPr>
      <w:autoSpaceDE w:val="0"/>
      <w:autoSpaceDN w:val="0"/>
      <w:adjustRightInd w:val="0"/>
    </w:pPr>
    <w:rPr>
      <w:rFonts w:ascii="Arial" w:hAnsi="Arial" w:cs="Arial"/>
      <w:color w:val="000000"/>
      <w:sz w:val="24"/>
      <w:szCs w:val="24"/>
      <w:lang w:val="es-CO" w:eastAsia="es-CO"/>
    </w:rPr>
  </w:style>
  <w:style w:type="paragraph" w:customStyle="1" w:styleId="Cuerpo">
    <w:name w:val="Cuerpo"/>
    <w:rsid w:val="00DF1E6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CO" w:eastAsia="es-CO"/>
    </w:rPr>
  </w:style>
  <w:style w:type="character" w:customStyle="1" w:styleId="PiedepginaCar">
    <w:name w:val="Pie de página Car"/>
    <w:link w:val="Piedepgina"/>
    <w:uiPriority w:val="99"/>
    <w:rsid w:val="00B4178F"/>
    <w:rPr>
      <w:rFonts w:ascii="Arial" w:hAnsi="Arial"/>
      <w:lang w:val="es-ES" w:eastAsia="es-ES"/>
    </w:rPr>
  </w:style>
  <w:style w:type="paragraph" w:customStyle="1" w:styleId="xmsonormal">
    <w:name w:val="x_msonormal"/>
    <w:basedOn w:val="Normal"/>
    <w:rsid w:val="00715DD5"/>
    <w:pPr>
      <w:spacing w:before="100" w:beforeAutospacing="1" w:after="100" w:afterAutospacing="1"/>
    </w:pPr>
    <w:rPr>
      <w:rFonts w:ascii="Times New Roman" w:hAnsi="Times New Roman"/>
      <w:sz w:val="24"/>
      <w:szCs w:val="24"/>
      <w:lang w:val="es-CO" w:eastAsia="es-CO"/>
    </w:rPr>
  </w:style>
  <w:style w:type="paragraph" w:customStyle="1" w:styleId="xmsolistparagraph">
    <w:name w:val="x_msolistparagraph"/>
    <w:basedOn w:val="Normal"/>
    <w:rsid w:val="00715DD5"/>
    <w:pPr>
      <w:spacing w:before="100" w:beforeAutospacing="1" w:after="100" w:afterAutospacing="1"/>
    </w:pPr>
    <w:rPr>
      <w:rFonts w:ascii="Times New Roman" w:hAnsi="Times New Roman"/>
      <w:sz w:val="24"/>
      <w:szCs w:val="24"/>
      <w:lang w:val="es-CO" w:eastAsia="es-CO"/>
    </w:rPr>
  </w:style>
  <w:style w:type="character" w:customStyle="1" w:styleId="apple-converted-space">
    <w:name w:val="apple-converted-space"/>
    <w:basedOn w:val="Fuentedeprrafopredeter"/>
    <w:rsid w:val="00715DD5"/>
  </w:style>
  <w:style w:type="paragraph" w:customStyle="1" w:styleId="xcuerpo">
    <w:name w:val="x_cuerpo"/>
    <w:basedOn w:val="Normal"/>
    <w:rsid w:val="00715DD5"/>
    <w:pPr>
      <w:spacing w:before="100" w:beforeAutospacing="1" w:after="100" w:afterAutospacing="1"/>
    </w:pPr>
    <w:rPr>
      <w:rFonts w:ascii="Times New Roman" w:hAnsi="Times New Roman"/>
      <w:sz w:val="24"/>
      <w:szCs w:val="24"/>
      <w:lang w:val="es-CO" w:eastAsia="es-CO"/>
    </w:rPr>
  </w:style>
  <w:style w:type="paragraph" w:styleId="Textonotapie">
    <w:name w:val="footnote text"/>
    <w:basedOn w:val="Normal"/>
    <w:link w:val="TextonotapieCar"/>
    <w:uiPriority w:val="99"/>
    <w:rsid w:val="00925058"/>
    <w:rPr>
      <w:rFonts w:ascii="Times" w:eastAsia="Times" w:hAnsi="Times"/>
      <w:lang w:val="en-US"/>
    </w:rPr>
  </w:style>
  <w:style w:type="character" w:customStyle="1" w:styleId="TextonotapieCar">
    <w:name w:val="Texto nota pie Car"/>
    <w:link w:val="Textonotapie"/>
    <w:uiPriority w:val="99"/>
    <w:rsid w:val="00925058"/>
    <w:rPr>
      <w:rFonts w:ascii="Times" w:eastAsia="Times" w:hAnsi="Times"/>
      <w:lang w:val="en-US" w:eastAsia="es-ES"/>
    </w:rPr>
  </w:style>
  <w:style w:type="character" w:styleId="Refdenotaalpie">
    <w:name w:val="footnote reference"/>
    <w:uiPriority w:val="99"/>
    <w:rsid w:val="00925058"/>
    <w:rPr>
      <w:vertAlign w:val="superscript"/>
    </w:rPr>
  </w:style>
  <w:style w:type="paragraph" w:customStyle="1" w:styleId="Cuadrculamedia21">
    <w:name w:val="Cuadrícula media 21"/>
    <w:qFormat/>
    <w:rsid w:val="00236F62"/>
    <w:rPr>
      <w:rFonts w:ascii="Calibri" w:eastAsia="Calibri" w:hAnsi="Calibri"/>
      <w:sz w:val="22"/>
      <w:szCs w:val="22"/>
      <w:lang w:val="es-CO"/>
    </w:rPr>
  </w:style>
  <w:style w:type="character" w:styleId="Textoennegrita">
    <w:name w:val="Strong"/>
    <w:uiPriority w:val="22"/>
    <w:qFormat/>
    <w:rsid w:val="002D2CB2"/>
    <w:rPr>
      <w:b/>
      <w:bCs/>
    </w:rPr>
  </w:style>
  <w:style w:type="paragraph" w:styleId="Ttulo">
    <w:name w:val="Title"/>
    <w:basedOn w:val="Normal"/>
    <w:link w:val="TtuloCar"/>
    <w:qFormat/>
    <w:rsid w:val="00AE03F3"/>
    <w:pPr>
      <w:jc w:val="center"/>
    </w:pPr>
    <w:rPr>
      <w:rFonts w:cs="Arial"/>
      <w:b/>
      <w:bCs/>
      <w:sz w:val="32"/>
      <w:szCs w:val="24"/>
    </w:rPr>
  </w:style>
  <w:style w:type="character" w:customStyle="1" w:styleId="TtuloCar">
    <w:name w:val="Título Car"/>
    <w:link w:val="Ttulo"/>
    <w:rsid w:val="00AE03F3"/>
    <w:rPr>
      <w:rFonts w:ascii="Arial" w:hAnsi="Arial" w:cs="Arial"/>
      <w:b/>
      <w:bCs/>
      <w:sz w:val="32"/>
      <w:szCs w:val="24"/>
      <w:lang w:val="es-ES" w:eastAsia="es-ES"/>
    </w:rPr>
  </w:style>
  <w:style w:type="character" w:customStyle="1" w:styleId="Listavistosa-nfasis1Car">
    <w:name w:val="Lista vistosa - Énfasis 1 Car"/>
    <w:aliases w:val="Normal. Viñetas Car"/>
    <w:link w:val="Listavistosa-nfasis11"/>
    <w:uiPriority w:val="34"/>
    <w:locked/>
    <w:rsid w:val="005629D0"/>
    <w:rPr>
      <w:rFonts w:ascii="Calibri" w:hAnsi="Calibri"/>
      <w:sz w:val="22"/>
      <w:szCs w:val="22"/>
    </w:rPr>
  </w:style>
  <w:style w:type="character" w:styleId="Hipervnculo">
    <w:name w:val="Hyperlink"/>
    <w:uiPriority w:val="99"/>
    <w:unhideWhenUsed/>
    <w:rsid w:val="00F80E07"/>
    <w:rPr>
      <w:color w:val="0000FF"/>
      <w:u w:val="single"/>
    </w:rPr>
  </w:style>
  <w:style w:type="table" w:styleId="Tablaconcuadrcula">
    <w:name w:val="Table Grid"/>
    <w:basedOn w:val="Tablanormal"/>
    <w:rsid w:val="0035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paragraphstyle"/>
    <w:basedOn w:val="Normal"/>
    <w:rsid w:val="00BC0996"/>
    <w:pPr>
      <w:spacing w:before="100" w:beforeAutospacing="1" w:after="100" w:afterAutospacing="1"/>
    </w:pPr>
    <w:rPr>
      <w:rFonts w:ascii="Times New Roman" w:hAnsi="Times New Roman"/>
      <w:sz w:val="24"/>
      <w:szCs w:val="24"/>
      <w:lang w:val="es-CO" w:eastAsia="es-CO"/>
    </w:rPr>
  </w:style>
  <w:style w:type="paragraph" w:styleId="Prrafodelista">
    <w:name w:val="List Paragraph"/>
    <w:basedOn w:val="Normal"/>
    <w:uiPriority w:val="72"/>
    <w:qFormat/>
    <w:rsid w:val="00760A1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5932">
      <w:bodyDiv w:val="1"/>
      <w:marLeft w:val="0"/>
      <w:marRight w:val="0"/>
      <w:marTop w:val="0"/>
      <w:marBottom w:val="0"/>
      <w:divBdr>
        <w:top w:val="none" w:sz="0" w:space="0" w:color="auto"/>
        <w:left w:val="none" w:sz="0" w:space="0" w:color="auto"/>
        <w:bottom w:val="none" w:sz="0" w:space="0" w:color="auto"/>
        <w:right w:val="none" w:sz="0" w:space="0" w:color="auto"/>
      </w:divBdr>
    </w:div>
    <w:div w:id="328604925">
      <w:bodyDiv w:val="1"/>
      <w:marLeft w:val="0"/>
      <w:marRight w:val="0"/>
      <w:marTop w:val="0"/>
      <w:marBottom w:val="0"/>
      <w:divBdr>
        <w:top w:val="none" w:sz="0" w:space="0" w:color="auto"/>
        <w:left w:val="none" w:sz="0" w:space="0" w:color="auto"/>
        <w:bottom w:val="none" w:sz="0" w:space="0" w:color="auto"/>
        <w:right w:val="none" w:sz="0" w:space="0" w:color="auto"/>
      </w:divBdr>
    </w:div>
    <w:div w:id="372124139">
      <w:bodyDiv w:val="1"/>
      <w:marLeft w:val="0"/>
      <w:marRight w:val="0"/>
      <w:marTop w:val="0"/>
      <w:marBottom w:val="0"/>
      <w:divBdr>
        <w:top w:val="none" w:sz="0" w:space="0" w:color="auto"/>
        <w:left w:val="none" w:sz="0" w:space="0" w:color="auto"/>
        <w:bottom w:val="none" w:sz="0" w:space="0" w:color="auto"/>
        <w:right w:val="none" w:sz="0" w:space="0" w:color="auto"/>
      </w:divBdr>
    </w:div>
    <w:div w:id="522674520">
      <w:bodyDiv w:val="1"/>
      <w:marLeft w:val="0"/>
      <w:marRight w:val="0"/>
      <w:marTop w:val="0"/>
      <w:marBottom w:val="0"/>
      <w:divBdr>
        <w:top w:val="none" w:sz="0" w:space="0" w:color="auto"/>
        <w:left w:val="none" w:sz="0" w:space="0" w:color="auto"/>
        <w:bottom w:val="none" w:sz="0" w:space="0" w:color="auto"/>
        <w:right w:val="none" w:sz="0" w:space="0" w:color="auto"/>
      </w:divBdr>
    </w:div>
    <w:div w:id="959460742">
      <w:bodyDiv w:val="1"/>
      <w:marLeft w:val="0"/>
      <w:marRight w:val="0"/>
      <w:marTop w:val="0"/>
      <w:marBottom w:val="0"/>
      <w:divBdr>
        <w:top w:val="none" w:sz="0" w:space="0" w:color="auto"/>
        <w:left w:val="none" w:sz="0" w:space="0" w:color="auto"/>
        <w:bottom w:val="none" w:sz="0" w:space="0" w:color="auto"/>
        <w:right w:val="none" w:sz="0" w:space="0" w:color="auto"/>
      </w:divBdr>
    </w:div>
    <w:div w:id="1064067697">
      <w:bodyDiv w:val="1"/>
      <w:marLeft w:val="0"/>
      <w:marRight w:val="0"/>
      <w:marTop w:val="0"/>
      <w:marBottom w:val="0"/>
      <w:divBdr>
        <w:top w:val="none" w:sz="0" w:space="0" w:color="auto"/>
        <w:left w:val="none" w:sz="0" w:space="0" w:color="auto"/>
        <w:bottom w:val="none" w:sz="0" w:space="0" w:color="auto"/>
        <w:right w:val="none" w:sz="0" w:space="0" w:color="auto"/>
      </w:divBdr>
    </w:div>
    <w:div w:id="1134756186">
      <w:bodyDiv w:val="1"/>
      <w:marLeft w:val="0"/>
      <w:marRight w:val="0"/>
      <w:marTop w:val="0"/>
      <w:marBottom w:val="0"/>
      <w:divBdr>
        <w:top w:val="none" w:sz="0" w:space="0" w:color="auto"/>
        <w:left w:val="none" w:sz="0" w:space="0" w:color="auto"/>
        <w:bottom w:val="none" w:sz="0" w:space="0" w:color="auto"/>
        <w:right w:val="none" w:sz="0" w:space="0" w:color="auto"/>
      </w:divBdr>
    </w:div>
    <w:div w:id="1275871350">
      <w:bodyDiv w:val="1"/>
      <w:marLeft w:val="0"/>
      <w:marRight w:val="0"/>
      <w:marTop w:val="0"/>
      <w:marBottom w:val="0"/>
      <w:divBdr>
        <w:top w:val="none" w:sz="0" w:space="0" w:color="auto"/>
        <w:left w:val="none" w:sz="0" w:space="0" w:color="auto"/>
        <w:bottom w:val="none" w:sz="0" w:space="0" w:color="auto"/>
        <w:right w:val="none" w:sz="0" w:space="0" w:color="auto"/>
      </w:divBdr>
    </w:div>
    <w:div w:id="1434084038">
      <w:bodyDiv w:val="1"/>
      <w:marLeft w:val="0"/>
      <w:marRight w:val="0"/>
      <w:marTop w:val="0"/>
      <w:marBottom w:val="0"/>
      <w:divBdr>
        <w:top w:val="none" w:sz="0" w:space="0" w:color="auto"/>
        <w:left w:val="none" w:sz="0" w:space="0" w:color="auto"/>
        <w:bottom w:val="none" w:sz="0" w:space="0" w:color="auto"/>
        <w:right w:val="none" w:sz="0" w:space="0" w:color="auto"/>
      </w:divBdr>
    </w:div>
    <w:div w:id="1571496680">
      <w:bodyDiv w:val="1"/>
      <w:marLeft w:val="0"/>
      <w:marRight w:val="0"/>
      <w:marTop w:val="0"/>
      <w:marBottom w:val="0"/>
      <w:divBdr>
        <w:top w:val="none" w:sz="0" w:space="0" w:color="auto"/>
        <w:left w:val="none" w:sz="0" w:space="0" w:color="auto"/>
        <w:bottom w:val="none" w:sz="0" w:space="0" w:color="auto"/>
        <w:right w:val="none" w:sz="0" w:space="0" w:color="auto"/>
      </w:divBdr>
    </w:div>
    <w:div w:id="2062749975">
      <w:bodyDiv w:val="1"/>
      <w:marLeft w:val="0"/>
      <w:marRight w:val="0"/>
      <w:marTop w:val="0"/>
      <w:marBottom w:val="0"/>
      <w:divBdr>
        <w:top w:val="none" w:sz="0" w:space="0" w:color="auto"/>
        <w:left w:val="none" w:sz="0" w:space="0" w:color="auto"/>
        <w:bottom w:val="none" w:sz="0" w:space="0" w:color="auto"/>
        <w:right w:val="none" w:sz="0" w:space="0" w:color="auto"/>
      </w:divBdr>
    </w:div>
    <w:div w:id="20985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H7EN5MXTHQNV-429570507-33</_dlc_DocId>
    <_dlc_DocIdUrl xmlns="ae9388c0-b1e2-40ea-b6a8-c51c7913cbd2">
      <Url>https://mng.mincultura.gov.co/ministerio/transparencia-y-acceso-a-informacion-publica/publicidad%20de%20proyectos%20de%20especificos%20de%20regulacion/_layouts/15/DocIdRedir.aspx?ID=H7EN5MXTHQNV-429570507-33</Url>
      <Description>H7EN5MXTHQNV-429570507-33</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4C57ED45B36A8446A222379A73921453" ma:contentTypeVersion="2" ma:contentTypeDescription="Crear nuevo documento." ma:contentTypeScope="" ma:versionID="8e8ef8bec0ec3865cdacfa63268257a0">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51cc8e0e0aa7f7be98d7927510fdd1e" ns1:_="" ns2:_="">
    <xsd:import namespace="http://schemas.microsoft.com/sharepoint/v3"/>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2"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174C5-96FD-4DA8-B152-C37CFBC1CC39}"/>
</file>

<file path=customXml/itemProps2.xml><?xml version="1.0" encoding="utf-8"?>
<ds:datastoreItem xmlns:ds="http://schemas.openxmlformats.org/officeDocument/2006/customXml" ds:itemID="{BAE68795-B334-4FD2-A8B9-4BBE5699944A}"/>
</file>

<file path=customXml/itemProps3.xml><?xml version="1.0" encoding="utf-8"?>
<ds:datastoreItem xmlns:ds="http://schemas.openxmlformats.org/officeDocument/2006/customXml" ds:itemID="{9E812BE7-56B3-4B44-AAB4-5713B1796DB1}"/>
</file>

<file path=customXml/itemProps4.xml><?xml version="1.0" encoding="utf-8"?>
<ds:datastoreItem xmlns:ds="http://schemas.openxmlformats.org/officeDocument/2006/customXml" ds:itemID="{BAE5E34B-E526-4355-9714-97784ED457D5}"/>
</file>

<file path=customXml/itemProps5.xml><?xml version="1.0" encoding="utf-8"?>
<ds:datastoreItem xmlns:ds="http://schemas.openxmlformats.org/officeDocument/2006/customXml" ds:itemID="{28357AC2-C056-4CBE-8D55-7CEB9815A8D4}"/>
</file>

<file path=docProps/app.xml><?xml version="1.0" encoding="utf-8"?>
<Properties xmlns="http://schemas.openxmlformats.org/officeDocument/2006/extended-properties" xmlns:vt="http://schemas.openxmlformats.org/officeDocument/2006/docPropsVTypes">
  <Template>Normal</Template>
  <TotalTime>0</TotalTime>
  <Pages>4</Pages>
  <Words>1438</Words>
  <Characters>7843</Characters>
  <Application>Microsoft Office Word</Application>
  <DocSecurity>4</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dafp</Company>
  <LinksUpToDate>false</LinksUpToDate>
  <CharactersWithSpaces>9263</CharactersWithSpaces>
  <SharedDoc>false</SharedDoc>
  <HLinks>
    <vt:vector size="6" baseType="variant">
      <vt:variant>
        <vt:i4>1900662</vt:i4>
      </vt:variant>
      <vt:variant>
        <vt:i4>0</vt:i4>
      </vt:variant>
      <vt:variant>
        <vt:i4>0</vt:i4>
      </vt:variant>
      <vt:variant>
        <vt:i4>5</vt:i4>
      </vt:variant>
      <vt:variant>
        <vt:lpwstr>https://s3.amazonaws.com/appforest_uf/f1600711792105x915255643583475700/Estatutos V2 septiembre 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sistemas</dc:creator>
  <cp:keywords/>
  <dc:description/>
  <cp:lastModifiedBy>Juan Manuel Andrade Morantes</cp:lastModifiedBy>
  <cp:revision>2</cp:revision>
  <cp:lastPrinted>2019-07-08T22:30:00Z</cp:lastPrinted>
  <dcterms:created xsi:type="dcterms:W3CDTF">2021-03-31T21:48:00Z</dcterms:created>
  <dcterms:modified xsi:type="dcterms:W3CDTF">2021-03-31T21:48:00Z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0x0101004C57ED45B36A8446A222379A73921453</vt:lpwstr>
  </property>
  <property fmtid="{D5CDD505-2E9C-101B-9397-08002B2CF9AE}" pid="3" name="_dlc_DocIdItemGuid">
    <vt:lpwstr>0a27a1d6-c8a7-4601-9847-e87c0143b919</vt:lpwstr>
  </property>
</Properties>
</file>