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69"/>
        <w:gridCol w:w="4186"/>
        <w:gridCol w:w="3119"/>
      </w:tblGrid>
      <w:tr w:rsidR="00983D99" w:rsidRPr="00CF6B42" w:rsidTr="00B71102">
        <w:trPr>
          <w:trHeight w:val="97"/>
        </w:trPr>
        <w:tc>
          <w:tcPr>
            <w:tcW w:w="3469" w:type="dxa"/>
            <w:tcBorders>
              <w:top w:val="single" w:sz="4" w:space="0" w:color="auto"/>
              <w:bottom w:val="single" w:sz="4" w:space="0" w:color="auto"/>
              <w:right w:val="single" w:sz="4" w:space="0" w:color="auto"/>
            </w:tcBorders>
            <w:shd w:val="clear" w:color="auto" w:fill="5B8AFF"/>
            <w:vAlign w:val="center"/>
          </w:tcPr>
          <w:p w:rsidR="00983D99" w:rsidRPr="00CF6B42" w:rsidRDefault="00983D99" w:rsidP="00B71102">
            <w:pPr>
              <w:pStyle w:val="Ttulo2"/>
              <w:ind w:right="72"/>
              <w:jc w:val="both"/>
              <w:rPr>
                <w:rFonts w:cs="Arial"/>
                <w:bCs/>
                <w:color w:val="FFFFFF"/>
                <w:sz w:val="22"/>
                <w:szCs w:val="22"/>
              </w:rPr>
            </w:pPr>
            <w:r w:rsidRPr="00CF6B42">
              <w:rPr>
                <w:rFonts w:cs="Arial"/>
                <w:color w:val="FFFFFF"/>
                <w:sz w:val="22"/>
                <w:szCs w:val="22"/>
                <w:lang w:val="es-CO"/>
              </w:rPr>
              <w:t>Entidad originadora:</w:t>
            </w:r>
          </w:p>
        </w:tc>
        <w:tc>
          <w:tcPr>
            <w:tcW w:w="7305" w:type="dxa"/>
            <w:gridSpan w:val="2"/>
            <w:tcBorders>
              <w:top w:val="single" w:sz="4" w:space="0" w:color="auto"/>
              <w:left w:val="single" w:sz="4" w:space="0" w:color="auto"/>
              <w:bottom w:val="single" w:sz="4" w:space="0" w:color="auto"/>
            </w:tcBorders>
            <w:shd w:val="clear" w:color="auto" w:fill="FFFFFF"/>
            <w:vAlign w:val="center"/>
          </w:tcPr>
          <w:p w:rsidR="00983D99" w:rsidRPr="00CF6B42" w:rsidRDefault="00983D99" w:rsidP="00B71102">
            <w:pPr>
              <w:pStyle w:val="Ttulo2"/>
              <w:ind w:left="72" w:right="72"/>
              <w:jc w:val="both"/>
              <w:rPr>
                <w:rFonts w:cs="Arial"/>
                <w:b w:val="0"/>
                <w:sz w:val="22"/>
                <w:szCs w:val="22"/>
              </w:rPr>
            </w:pPr>
            <w:r w:rsidRPr="00CF6B42">
              <w:rPr>
                <w:rFonts w:cs="Arial"/>
                <w:b w:val="0"/>
                <w:sz w:val="22"/>
                <w:szCs w:val="22"/>
              </w:rPr>
              <w:t>Ministerio de Cultura</w:t>
            </w:r>
          </w:p>
        </w:tc>
      </w:tr>
      <w:tr w:rsidR="00983D99" w:rsidRPr="00CF6B42" w:rsidTr="00B71102">
        <w:trPr>
          <w:trHeight w:val="97"/>
        </w:trPr>
        <w:tc>
          <w:tcPr>
            <w:tcW w:w="3469" w:type="dxa"/>
            <w:tcBorders>
              <w:top w:val="single" w:sz="4" w:space="0" w:color="auto"/>
              <w:bottom w:val="single" w:sz="4" w:space="0" w:color="auto"/>
              <w:right w:val="single" w:sz="4" w:space="0" w:color="auto"/>
            </w:tcBorders>
            <w:shd w:val="clear" w:color="auto" w:fill="5B8AFF"/>
            <w:vAlign w:val="center"/>
          </w:tcPr>
          <w:p w:rsidR="00983D99" w:rsidRPr="00CF6B42" w:rsidRDefault="00983D99" w:rsidP="00B71102">
            <w:pPr>
              <w:pStyle w:val="Ttulo2"/>
              <w:ind w:right="72"/>
              <w:jc w:val="both"/>
              <w:rPr>
                <w:rFonts w:cs="Arial"/>
                <w:bCs/>
                <w:color w:val="FFFFFF"/>
                <w:sz w:val="22"/>
                <w:szCs w:val="22"/>
              </w:rPr>
            </w:pPr>
            <w:r w:rsidRPr="00CF6B42">
              <w:rPr>
                <w:rFonts w:cs="Arial"/>
                <w:bCs/>
                <w:color w:val="FFFFFF"/>
                <w:sz w:val="22"/>
                <w:szCs w:val="22"/>
              </w:rPr>
              <w:t>Fecha (</w:t>
            </w:r>
            <w:proofErr w:type="spellStart"/>
            <w:r w:rsidRPr="00CF6B42">
              <w:rPr>
                <w:rFonts w:cs="Arial"/>
                <w:bCs/>
                <w:color w:val="FFFFFF"/>
                <w:sz w:val="22"/>
                <w:szCs w:val="22"/>
              </w:rPr>
              <w:t>dd</w:t>
            </w:r>
            <w:proofErr w:type="spellEnd"/>
            <w:r w:rsidRPr="00CF6B42">
              <w:rPr>
                <w:rFonts w:cs="Arial"/>
                <w:bCs/>
                <w:color w:val="FFFFFF"/>
                <w:sz w:val="22"/>
                <w:szCs w:val="22"/>
              </w:rPr>
              <w:t>/mm/</w:t>
            </w:r>
            <w:proofErr w:type="spellStart"/>
            <w:r w:rsidRPr="00CF6B42">
              <w:rPr>
                <w:rFonts w:cs="Arial"/>
                <w:bCs/>
                <w:color w:val="FFFFFF"/>
                <w:sz w:val="22"/>
                <w:szCs w:val="22"/>
              </w:rPr>
              <w:t>aa</w:t>
            </w:r>
            <w:proofErr w:type="spellEnd"/>
            <w:r w:rsidRPr="00CF6B42">
              <w:rPr>
                <w:rFonts w:cs="Arial"/>
                <w:bCs/>
                <w:color w:val="FFFFFF"/>
                <w:sz w:val="22"/>
                <w:szCs w:val="22"/>
              </w:rPr>
              <w:t>):</w:t>
            </w:r>
          </w:p>
        </w:tc>
        <w:tc>
          <w:tcPr>
            <w:tcW w:w="7305" w:type="dxa"/>
            <w:gridSpan w:val="2"/>
            <w:tcBorders>
              <w:top w:val="single" w:sz="4" w:space="0" w:color="auto"/>
              <w:left w:val="single" w:sz="4" w:space="0" w:color="auto"/>
              <w:bottom w:val="single" w:sz="4" w:space="0" w:color="auto"/>
            </w:tcBorders>
            <w:shd w:val="clear" w:color="auto" w:fill="FFFFFF"/>
            <w:vAlign w:val="center"/>
          </w:tcPr>
          <w:p w:rsidR="00983D99" w:rsidRPr="00CF6B42" w:rsidRDefault="00DE0AB7" w:rsidP="00B71102">
            <w:pPr>
              <w:pStyle w:val="Ttulo2"/>
              <w:ind w:left="72" w:right="72"/>
              <w:jc w:val="both"/>
              <w:rPr>
                <w:rFonts w:cs="Arial"/>
                <w:b w:val="0"/>
                <w:iCs/>
                <w:color w:val="FF0000"/>
                <w:sz w:val="22"/>
                <w:szCs w:val="22"/>
              </w:rPr>
            </w:pPr>
            <w:r>
              <w:rPr>
                <w:rFonts w:cs="Arial"/>
                <w:b w:val="0"/>
                <w:iCs/>
                <w:sz w:val="22"/>
                <w:szCs w:val="22"/>
              </w:rPr>
              <w:t>11/03</w:t>
            </w:r>
            <w:r w:rsidR="0065159E" w:rsidRPr="00CF6B42">
              <w:rPr>
                <w:rFonts w:cs="Arial"/>
                <w:b w:val="0"/>
                <w:iCs/>
                <w:sz w:val="22"/>
                <w:szCs w:val="22"/>
              </w:rPr>
              <w:t>/2022</w:t>
            </w:r>
          </w:p>
        </w:tc>
      </w:tr>
      <w:tr w:rsidR="00983D99" w:rsidRPr="00CF6B42" w:rsidTr="00B71102">
        <w:trPr>
          <w:trHeight w:val="97"/>
        </w:trPr>
        <w:tc>
          <w:tcPr>
            <w:tcW w:w="3469" w:type="dxa"/>
            <w:tcBorders>
              <w:top w:val="single" w:sz="4" w:space="0" w:color="auto"/>
              <w:bottom w:val="single" w:sz="4" w:space="0" w:color="auto"/>
              <w:right w:val="single" w:sz="4" w:space="0" w:color="auto"/>
            </w:tcBorders>
            <w:shd w:val="clear" w:color="auto" w:fill="5B8AFF"/>
            <w:vAlign w:val="center"/>
          </w:tcPr>
          <w:p w:rsidR="00983D99" w:rsidRPr="00CF6B42" w:rsidRDefault="00983D99" w:rsidP="00B71102">
            <w:pPr>
              <w:pStyle w:val="Ttulo2"/>
              <w:ind w:right="72"/>
              <w:jc w:val="both"/>
              <w:rPr>
                <w:rFonts w:cs="Arial"/>
                <w:bCs/>
                <w:color w:val="FFFFFF"/>
                <w:sz w:val="22"/>
                <w:szCs w:val="22"/>
              </w:rPr>
            </w:pPr>
            <w:r w:rsidRPr="00CF6B42">
              <w:rPr>
                <w:rFonts w:cs="Arial"/>
                <w:bCs/>
                <w:color w:val="FFFFFF"/>
                <w:sz w:val="22"/>
                <w:szCs w:val="22"/>
              </w:rPr>
              <w:t>Proyecto de Decreto/Resolución:</w:t>
            </w:r>
          </w:p>
        </w:tc>
        <w:tc>
          <w:tcPr>
            <w:tcW w:w="7305" w:type="dxa"/>
            <w:gridSpan w:val="2"/>
            <w:tcBorders>
              <w:top w:val="single" w:sz="4" w:space="0" w:color="auto"/>
              <w:left w:val="single" w:sz="4" w:space="0" w:color="auto"/>
              <w:bottom w:val="single" w:sz="4" w:space="0" w:color="auto"/>
            </w:tcBorders>
            <w:shd w:val="clear" w:color="auto" w:fill="FFFFFF"/>
            <w:vAlign w:val="center"/>
          </w:tcPr>
          <w:p w:rsidR="00983D99" w:rsidRPr="00CF6B42" w:rsidRDefault="0065159E" w:rsidP="00E15892">
            <w:pPr>
              <w:pStyle w:val="Textoindependiente2"/>
              <w:spacing w:after="0" w:line="240" w:lineRule="auto"/>
              <w:jc w:val="both"/>
              <w:rPr>
                <w:rFonts w:ascii="Arial" w:hAnsi="Arial" w:cs="Arial"/>
                <w:i/>
                <w:iCs/>
                <w:sz w:val="22"/>
                <w:szCs w:val="22"/>
              </w:rPr>
            </w:pPr>
            <w:r w:rsidRPr="00CF6B42">
              <w:rPr>
                <w:rFonts w:ascii="Arial" w:hAnsi="Arial" w:cs="Arial"/>
                <w:i/>
                <w:iCs/>
                <w:sz w:val="22"/>
                <w:szCs w:val="22"/>
              </w:rPr>
              <w:t>Por la cual se modifica la Resolución No, 0127 del 24 de enero de 2017 que aprobó el Plan Especial de Manejo y Protección (PEMP) del conjunto urbano (Centro Histórico) de Salamina, Caldas y su zona de influencia, declarado bien de interés cultural de carácter Nacional (hoy bien de interés cultural del ámbito Nacional).</w:t>
            </w:r>
          </w:p>
        </w:tc>
      </w:tr>
      <w:tr w:rsidR="00983D99" w:rsidRPr="00CF6B42" w:rsidTr="00B71102">
        <w:trPr>
          <w:trHeight w:val="674"/>
        </w:trPr>
        <w:tc>
          <w:tcPr>
            <w:tcW w:w="10774" w:type="dxa"/>
            <w:gridSpan w:val="3"/>
            <w:tcBorders>
              <w:top w:val="single" w:sz="4" w:space="0" w:color="auto"/>
            </w:tcBorders>
            <w:shd w:val="clear" w:color="auto" w:fill="FFFFFF"/>
            <w:vAlign w:val="center"/>
          </w:tcPr>
          <w:p w:rsidR="00983D99" w:rsidRPr="00CF6B42" w:rsidRDefault="00983D99" w:rsidP="00B71102">
            <w:pPr>
              <w:autoSpaceDE w:val="0"/>
              <w:autoSpaceDN w:val="0"/>
              <w:adjustRightInd w:val="0"/>
              <w:jc w:val="both"/>
              <w:rPr>
                <w:rFonts w:eastAsia="Calibri" w:cs="Arial"/>
                <w:sz w:val="22"/>
                <w:szCs w:val="22"/>
                <w:lang w:val="es-CO" w:eastAsia="en-US"/>
              </w:rPr>
            </w:pPr>
          </w:p>
          <w:p w:rsidR="00983D99" w:rsidRPr="00CF6B42" w:rsidRDefault="00983D99" w:rsidP="00B71102">
            <w:pPr>
              <w:numPr>
                <w:ilvl w:val="0"/>
                <w:numId w:val="1"/>
              </w:numPr>
              <w:ind w:left="494"/>
              <w:jc w:val="both"/>
              <w:rPr>
                <w:rFonts w:cs="Arial"/>
                <w:b/>
                <w:color w:val="000000"/>
                <w:sz w:val="22"/>
                <w:szCs w:val="22"/>
                <w:lang w:val="es-CO"/>
              </w:rPr>
            </w:pPr>
            <w:r w:rsidRPr="00CF6B42">
              <w:rPr>
                <w:rFonts w:cs="Arial"/>
                <w:b/>
                <w:color w:val="000000"/>
                <w:sz w:val="22"/>
                <w:szCs w:val="22"/>
                <w:lang w:val="es-CO"/>
              </w:rPr>
              <w:t>ANTECEDENTES Y RAZONES DE OPORTUNIDAD Y CONVENIENCIA QUE JUSTIFICAN SU EXPEDICIÓN.</w:t>
            </w:r>
          </w:p>
          <w:p w:rsidR="009F252D" w:rsidRPr="00CF6B42" w:rsidRDefault="009F252D" w:rsidP="009F252D">
            <w:pPr>
              <w:jc w:val="both"/>
              <w:rPr>
                <w:rFonts w:cs="Arial"/>
                <w:b/>
                <w:color w:val="000000"/>
                <w:sz w:val="22"/>
                <w:szCs w:val="22"/>
                <w:lang w:val="es-CO"/>
              </w:rPr>
            </w:pPr>
          </w:p>
          <w:p w:rsidR="005B4E4D" w:rsidRPr="00CF6B42" w:rsidRDefault="005B4E4D" w:rsidP="005B4E4D">
            <w:pPr>
              <w:pStyle w:val="Sinespaciado"/>
              <w:jc w:val="both"/>
              <w:rPr>
                <w:rFonts w:ascii="Arial" w:hAnsi="Arial" w:cs="Arial"/>
                <w:bCs/>
                <w:color w:val="333333"/>
                <w:sz w:val="22"/>
                <w:szCs w:val="22"/>
                <w:shd w:val="clear" w:color="auto" w:fill="FFFFFF"/>
                <w:lang w:val="es-ES"/>
              </w:rPr>
            </w:pPr>
            <w:r w:rsidRPr="00CF6B42">
              <w:rPr>
                <w:rFonts w:ascii="Arial" w:hAnsi="Arial" w:cs="Arial"/>
                <w:bCs/>
                <w:color w:val="333333"/>
                <w:sz w:val="22"/>
                <w:szCs w:val="22"/>
                <w:shd w:val="clear" w:color="auto" w:fill="FFFFFF"/>
                <w:lang w:val="es-ES"/>
              </w:rPr>
              <w:t xml:space="preserve">Mediante la Resolución 0127 de 24 de enero de 2017, el Ministerio de Cultura aprobó el Plan Especial de Manejo y Protección - PEMP </w:t>
            </w:r>
            <w:r w:rsidRPr="00CF6B42">
              <w:rPr>
                <w:rFonts w:ascii="Arial" w:hAnsi="Arial" w:cs="Arial"/>
                <w:i/>
                <w:iCs/>
                <w:sz w:val="22"/>
                <w:szCs w:val="22"/>
              </w:rPr>
              <w:t>del conjunto urbano (Centro Histórico) de Salamina, Caldas y su zona de influencia, declarado bien de interés cultural de ca</w:t>
            </w:r>
            <w:bookmarkStart w:id="0" w:name="_GoBack"/>
            <w:bookmarkEnd w:id="0"/>
            <w:r w:rsidRPr="00CF6B42">
              <w:rPr>
                <w:rFonts w:ascii="Arial" w:hAnsi="Arial" w:cs="Arial"/>
                <w:i/>
                <w:iCs/>
                <w:sz w:val="22"/>
                <w:szCs w:val="22"/>
              </w:rPr>
              <w:t>rácter Nacional (hoy bien de interés cultural del ámbito Nacional</w:t>
            </w:r>
            <w:r w:rsidRPr="00CF6B42">
              <w:rPr>
                <w:rFonts w:ascii="Arial" w:hAnsi="Arial" w:cs="Arial"/>
                <w:bCs/>
                <w:color w:val="333333"/>
                <w:sz w:val="22"/>
                <w:szCs w:val="22"/>
                <w:shd w:val="clear" w:color="auto" w:fill="FFFFFF"/>
                <w:lang w:val="es-ES"/>
              </w:rPr>
              <w:t>, en el cual se establecieron las acciones necesarias para garantizar la protección, conservación y sostenibilidad del sector;</w:t>
            </w:r>
          </w:p>
          <w:p w:rsidR="005B4E4D" w:rsidRPr="00CF6B42" w:rsidRDefault="005B4E4D" w:rsidP="009F252D">
            <w:pPr>
              <w:ind w:right="23" w:hanging="11"/>
              <w:jc w:val="both"/>
              <w:rPr>
                <w:rFonts w:cs="Arial"/>
                <w:sz w:val="22"/>
                <w:szCs w:val="22"/>
              </w:rPr>
            </w:pPr>
          </w:p>
          <w:p w:rsidR="009F252D" w:rsidRPr="00CF6B42" w:rsidRDefault="009F252D" w:rsidP="009F252D">
            <w:pPr>
              <w:ind w:right="23" w:hanging="11"/>
              <w:jc w:val="both"/>
              <w:rPr>
                <w:rFonts w:cs="Arial"/>
                <w:sz w:val="22"/>
                <w:szCs w:val="22"/>
              </w:rPr>
            </w:pPr>
            <w:r w:rsidRPr="00CF6B42">
              <w:rPr>
                <w:rFonts w:cs="Arial"/>
                <w:sz w:val="22"/>
                <w:szCs w:val="22"/>
              </w:rPr>
              <w:t>La Dirección de Patrimonio y Memoria por medio del Grupo de Patrimonio Cultural Inmueble Urbano</w:t>
            </w:r>
            <w:r w:rsidR="00080399" w:rsidRPr="00CF6B42">
              <w:rPr>
                <w:rFonts w:cs="Arial"/>
                <w:sz w:val="22"/>
                <w:szCs w:val="22"/>
              </w:rPr>
              <w:t xml:space="preserve"> atendió </w:t>
            </w:r>
            <w:r w:rsidRPr="00CF6B42">
              <w:rPr>
                <w:rFonts w:cs="Arial"/>
                <w:sz w:val="22"/>
                <w:szCs w:val="22"/>
              </w:rPr>
              <w:t>la solicitud del municipio de Salamina en relación con la necesidad de contar con mayor autonomía en el ámbito territorial para la gestión de su propio patrimonio</w:t>
            </w:r>
            <w:r w:rsidR="00080399" w:rsidRPr="00CF6B42">
              <w:rPr>
                <w:rFonts w:cs="Arial"/>
                <w:sz w:val="22"/>
                <w:szCs w:val="22"/>
              </w:rPr>
              <w:t xml:space="preserve">, para lo cual evaluó </w:t>
            </w:r>
            <w:r w:rsidR="00BB0F98" w:rsidRPr="00CF6B42">
              <w:rPr>
                <w:rFonts w:cs="Arial"/>
                <w:sz w:val="22"/>
                <w:szCs w:val="22"/>
              </w:rPr>
              <w:t xml:space="preserve">las condiciones administrativas y técnicas de implementación del PEMP con que cuenta la administración municipal, encontrando que actualmente se </w:t>
            </w:r>
            <w:r w:rsidR="009C3215" w:rsidRPr="00CF6B42">
              <w:rPr>
                <w:rFonts w:cs="Arial"/>
                <w:sz w:val="22"/>
                <w:szCs w:val="22"/>
              </w:rPr>
              <w:t xml:space="preserve">dispone de </w:t>
            </w:r>
            <w:r w:rsidR="00BB0F98" w:rsidRPr="00CF6B42">
              <w:rPr>
                <w:rFonts w:cs="Arial"/>
                <w:sz w:val="22"/>
                <w:szCs w:val="22"/>
              </w:rPr>
              <w:t xml:space="preserve"> la creación de instancias administrativas especializadas al interior del municipio, así como un instrumento contractual con el que el Ministerio brinda asistencia respecto de temas asociados con el patrimonio cultural</w:t>
            </w:r>
            <w:r w:rsidR="00080399" w:rsidRPr="00CF6B42">
              <w:rPr>
                <w:rFonts w:cs="Arial"/>
                <w:sz w:val="22"/>
                <w:szCs w:val="22"/>
              </w:rPr>
              <w:t>.</w:t>
            </w:r>
          </w:p>
          <w:p w:rsidR="00BB0F98" w:rsidRPr="00CF6B42" w:rsidRDefault="00BB0F98" w:rsidP="009F252D">
            <w:pPr>
              <w:ind w:right="23" w:hanging="11"/>
              <w:jc w:val="both"/>
              <w:rPr>
                <w:rFonts w:cs="Arial"/>
                <w:sz w:val="22"/>
                <w:szCs w:val="22"/>
              </w:rPr>
            </w:pPr>
          </w:p>
          <w:p w:rsidR="00BB0F98" w:rsidRPr="00CF6B42" w:rsidRDefault="009C3215" w:rsidP="009F252D">
            <w:pPr>
              <w:ind w:right="23" w:hanging="11"/>
              <w:jc w:val="both"/>
              <w:rPr>
                <w:rFonts w:cs="Arial"/>
                <w:sz w:val="22"/>
                <w:szCs w:val="22"/>
              </w:rPr>
            </w:pPr>
            <w:r w:rsidRPr="00CF6B42">
              <w:rPr>
                <w:rFonts w:cs="Arial"/>
                <w:sz w:val="22"/>
                <w:szCs w:val="22"/>
              </w:rPr>
              <w:t>A</w:t>
            </w:r>
            <w:r w:rsidR="00BB0F98" w:rsidRPr="00CF6B42">
              <w:rPr>
                <w:rFonts w:cs="Arial"/>
                <w:sz w:val="22"/>
                <w:szCs w:val="22"/>
              </w:rPr>
              <w:t>dicionalmente, la Dirección de Patrimonio y Memoria contrató el desarrollo de noventa (90) fichas normativas específicas de predio a predio de Nivel 2 de intervención, las cuales generarán una norma clara de cada uno de los inmuebles, sin lugar a subjetividades o interpretaciones, lo cual contribuirá a mejorar los procedimientos de intervención de inmuebles en el centro histórico.</w:t>
            </w:r>
          </w:p>
          <w:p w:rsidR="00080399" w:rsidRPr="00CF6B42" w:rsidRDefault="00080399" w:rsidP="009F252D">
            <w:pPr>
              <w:ind w:right="23" w:hanging="11"/>
              <w:jc w:val="both"/>
              <w:rPr>
                <w:rFonts w:cs="Arial"/>
                <w:sz w:val="22"/>
                <w:szCs w:val="22"/>
              </w:rPr>
            </w:pPr>
          </w:p>
          <w:p w:rsidR="00F15AB3" w:rsidRPr="00CF6B42" w:rsidRDefault="009C3215" w:rsidP="009F252D">
            <w:pPr>
              <w:ind w:right="23" w:hanging="11"/>
              <w:jc w:val="both"/>
              <w:rPr>
                <w:rFonts w:cs="Arial"/>
                <w:sz w:val="22"/>
                <w:szCs w:val="22"/>
              </w:rPr>
            </w:pPr>
            <w:r w:rsidRPr="00CF6B42">
              <w:rPr>
                <w:rFonts w:cs="Arial"/>
                <w:sz w:val="22"/>
                <w:szCs w:val="22"/>
              </w:rPr>
              <w:t>E</w:t>
            </w:r>
            <w:r w:rsidR="00BB0F98" w:rsidRPr="00CF6B42">
              <w:rPr>
                <w:rFonts w:cs="Arial"/>
                <w:sz w:val="22"/>
                <w:szCs w:val="22"/>
              </w:rPr>
              <w:t>n razón de lo justificado, se propone la modificación del artículo 93 y supresión del artículo 94 de la Resolución 0127 de 2017, permitiendo la asignación de competencias a la autoridad territorial respecto de los inmuebles clasificados en el Nivel 2 de intervención que presenten ficha normativa, otorgando mayores responsabilidades y decisiones en el entorno local</w:t>
            </w:r>
          </w:p>
          <w:p w:rsidR="009C3215" w:rsidRPr="00CF6B42" w:rsidRDefault="009C3215" w:rsidP="009F252D">
            <w:pPr>
              <w:ind w:right="23" w:hanging="11"/>
              <w:jc w:val="both"/>
              <w:rPr>
                <w:rFonts w:cs="Arial"/>
                <w:sz w:val="22"/>
                <w:szCs w:val="22"/>
              </w:rPr>
            </w:pPr>
          </w:p>
          <w:p w:rsidR="00153D1D" w:rsidRPr="00CF6B42" w:rsidRDefault="009C3215" w:rsidP="009F252D">
            <w:pPr>
              <w:ind w:right="23" w:hanging="11"/>
              <w:jc w:val="both"/>
              <w:rPr>
                <w:rFonts w:cs="Arial"/>
                <w:sz w:val="22"/>
                <w:szCs w:val="22"/>
              </w:rPr>
            </w:pPr>
            <w:r w:rsidRPr="00CF6B42">
              <w:rPr>
                <w:rFonts w:cs="Arial"/>
                <w:sz w:val="22"/>
                <w:szCs w:val="22"/>
              </w:rPr>
              <w:t>Por su parte</w:t>
            </w:r>
            <w:r w:rsidR="00CF6B42">
              <w:rPr>
                <w:rFonts w:cs="Arial"/>
                <w:sz w:val="22"/>
                <w:szCs w:val="22"/>
              </w:rPr>
              <w:t>,</w:t>
            </w:r>
            <w:r w:rsidRPr="00CF6B42">
              <w:rPr>
                <w:rFonts w:cs="Arial"/>
                <w:sz w:val="22"/>
                <w:szCs w:val="22"/>
              </w:rPr>
              <w:t xml:space="preserve"> es importante mencionar que e</w:t>
            </w:r>
            <w:r w:rsidR="00153D1D" w:rsidRPr="00CF6B42">
              <w:rPr>
                <w:rFonts w:cs="Arial"/>
                <w:sz w:val="22"/>
                <w:szCs w:val="22"/>
              </w:rPr>
              <w:t>l Consejo Nacional de Patrimonio Cultural de acuerdo con la Ley General de Cultura es el “órgano encargado de asesorar al Gobierno Nacional en cuanto a la salvaguardia, protección y manejo del patrimonio cultural de la Nación”, tiene como funciones las establecidas en la L</w:t>
            </w:r>
            <w:r w:rsidR="00CF6B42">
              <w:rPr>
                <w:rFonts w:cs="Arial"/>
                <w:sz w:val="22"/>
                <w:szCs w:val="22"/>
              </w:rPr>
              <w:t>ey y en el Decreto 1080 de 2015</w:t>
            </w:r>
            <w:r w:rsidR="00153D1D" w:rsidRPr="00CF6B42">
              <w:rPr>
                <w:rFonts w:cs="Arial"/>
                <w:sz w:val="22"/>
                <w:szCs w:val="22"/>
              </w:rPr>
              <w:t xml:space="preserve"> en relación con los Planes Especiales de Manejo y Protección y tiene asignado el conceptuar sobre la necesidad y sobre el contenido de estos instrumentos</w:t>
            </w:r>
          </w:p>
          <w:p w:rsidR="009F252D" w:rsidRPr="00CF6B42" w:rsidRDefault="009F252D" w:rsidP="009F252D">
            <w:pPr>
              <w:ind w:hanging="11"/>
              <w:jc w:val="both"/>
              <w:rPr>
                <w:rFonts w:cs="Arial"/>
                <w:b/>
                <w:color w:val="000000"/>
                <w:sz w:val="22"/>
                <w:szCs w:val="22"/>
                <w:lang w:val="es-CO"/>
              </w:rPr>
            </w:pPr>
          </w:p>
          <w:p w:rsidR="00B07B55" w:rsidRPr="00CF6B42" w:rsidRDefault="00CF6B42" w:rsidP="00F15AB3">
            <w:pPr>
              <w:autoSpaceDE w:val="0"/>
              <w:autoSpaceDN w:val="0"/>
              <w:adjustRightInd w:val="0"/>
              <w:ind w:right="73"/>
              <w:jc w:val="both"/>
              <w:rPr>
                <w:rFonts w:cs="Arial"/>
                <w:sz w:val="22"/>
                <w:szCs w:val="22"/>
              </w:rPr>
            </w:pPr>
            <w:r>
              <w:rPr>
                <w:rFonts w:eastAsia="Calibri" w:cs="Arial"/>
                <w:bCs/>
                <w:sz w:val="22"/>
                <w:szCs w:val="22"/>
                <w:lang w:eastAsia="en-US"/>
              </w:rPr>
              <w:t xml:space="preserve">Así las cosas, la </w:t>
            </w:r>
            <w:r w:rsidR="00F15AB3" w:rsidRPr="00CF6B42">
              <w:rPr>
                <w:rFonts w:cs="Arial"/>
                <w:sz w:val="22"/>
                <w:szCs w:val="22"/>
              </w:rPr>
              <w:t xml:space="preserve">solicitud de modificación propuesta se presentó en sesión </w:t>
            </w:r>
            <w:proofErr w:type="gramStart"/>
            <w:r w:rsidR="00F15AB3" w:rsidRPr="00CF6B42">
              <w:rPr>
                <w:rFonts w:cs="Arial"/>
                <w:sz w:val="22"/>
                <w:szCs w:val="22"/>
              </w:rPr>
              <w:t>ordinaria</w:t>
            </w:r>
            <w:r>
              <w:rPr>
                <w:rFonts w:cs="Arial"/>
                <w:sz w:val="22"/>
                <w:szCs w:val="22"/>
              </w:rPr>
              <w:t xml:space="preserve"> </w:t>
            </w:r>
            <w:r w:rsidRPr="00CF6B42">
              <w:rPr>
                <w:rFonts w:cs="Arial"/>
                <w:sz w:val="22"/>
                <w:szCs w:val="22"/>
              </w:rPr>
              <w:t xml:space="preserve"> </w:t>
            </w:r>
            <w:r>
              <w:rPr>
                <w:rFonts w:cs="Arial"/>
                <w:sz w:val="22"/>
                <w:szCs w:val="22"/>
              </w:rPr>
              <w:t>d</w:t>
            </w:r>
            <w:r w:rsidRPr="00CF6B42">
              <w:rPr>
                <w:rFonts w:cs="Arial"/>
                <w:sz w:val="22"/>
                <w:szCs w:val="22"/>
              </w:rPr>
              <w:t>el</w:t>
            </w:r>
            <w:proofErr w:type="gramEnd"/>
            <w:r w:rsidRPr="00CF6B42">
              <w:rPr>
                <w:rFonts w:cs="Arial"/>
                <w:sz w:val="22"/>
                <w:szCs w:val="22"/>
              </w:rPr>
              <w:t xml:space="preserve"> pasado 14 de octubre de 2021</w:t>
            </w:r>
            <w:r>
              <w:rPr>
                <w:rFonts w:cs="Arial"/>
                <w:sz w:val="22"/>
                <w:szCs w:val="22"/>
              </w:rPr>
              <w:t xml:space="preserve"> ante </w:t>
            </w:r>
            <w:r w:rsidR="00F15AB3" w:rsidRPr="00CF6B42">
              <w:rPr>
                <w:rFonts w:cs="Arial"/>
                <w:sz w:val="22"/>
                <w:szCs w:val="22"/>
              </w:rPr>
              <w:t>el Consejo Nacional de Patrimonio Cultural</w:t>
            </w:r>
            <w:r>
              <w:rPr>
                <w:rFonts w:cs="Arial"/>
                <w:sz w:val="22"/>
                <w:szCs w:val="22"/>
              </w:rPr>
              <w:t>,</w:t>
            </w:r>
            <w:r w:rsidR="00F15AB3" w:rsidRPr="00CF6B42">
              <w:rPr>
                <w:rFonts w:cs="Arial"/>
                <w:sz w:val="22"/>
                <w:szCs w:val="22"/>
              </w:rPr>
              <w:t xml:space="preserve"> máxima instancia en materia de toma de decisiones en cuanto a la protección del patrimonio cultural</w:t>
            </w:r>
            <w:r>
              <w:rPr>
                <w:rFonts w:cs="Arial"/>
                <w:sz w:val="22"/>
                <w:szCs w:val="22"/>
              </w:rPr>
              <w:t xml:space="preserve">, quien </w:t>
            </w:r>
            <w:r w:rsidR="00F15AB3" w:rsidRPr="00CF6B42">
              <w:rPr>
                <w:rFonts w:cs="Arial"/>
                <w:sz w:val="22"/>
                <w:szCs w:val="22"/>
              </w:rPr>
              <w:t>emitió concepto favorable por unanimidad a la solicitud presentada por el municipio de Salamina</w:t>
            </w:r>
            <w:r>
              <w:rPr>
                <w:rFonts w:cs="Arial"/>
                <w:sz w:val="22"/>
                <w:szCs w:val="22"/>
              </w:rPr>
              <w:t>. Lo anterior</w:t>
            </w:r>
            <w:r w:rsidR="00F15AB3" w:rsidRPr="00CF6B42">
              <w:rPr>
                <w:rFonts w:cs="Arial"/>
                <w:sz w:val="22"/>
                <w:szCs w:val="22"/>
              </w:rPr>
              <w:t xml:space="preserve"> </w:t>
            </w:r>
            <w:r>
              <w:rPr>
                <w:rFonts w:cs="Arial"/>
                <w:sz w:val="22"/>
                <w:szCs w:val="22"/>
              </w:rPr>
              <w:t xml:space="preserve">a propósito </w:t>
            </w:r>
            <w:r w:rsidR="00F15AB3" w:rsidRPr="00CF6B42">
              <w:rPr>
                <w:rFonts w:cs="Arial"/>
                <w:sz w:val="22"/>
                <w:szCs w:val="22"/>
              </w:rPr>
              <w:t xml:space="preserve">de </w:t>
            </w:r>
            <w:r>
              <w:rPr>
                <w:rFonts w:cs="Arial"/>
                <w:sz w:val="22"/>
                <w:szCs w:val="22"/>
              </w:rPr>
              <w:t xml:space="preserve">las competencias </w:t>
            </w:r>
            <w:r w:rsidR="00F15AB3" w:rsidRPr="00CF6B42">
              <w:rPr>
                <w:rFonts w:cs="Arial"/>
                <w:sz w:val="22"/>
                <w:szCs w:val="22"/>
              </w:rPr>
              <w:t xml:space="preserve">para atender las solicitudes de los niveles 2 de intervención ubicados en el centro histórico, como consta en el numeral 6 del Acta n.° 8 de 2021, </w:t>
            </w:r>
            <w:r w:rsidR="00B07B55" w:rsidRPr="00CF6B42">
              <w:rPr>
                <w:rFonts w:cs="Arial"/>
                <w:sz w:val="22"/>
                <w:szCs w:val="22"/>
              </w:rPr>
              <w:t>así</w:t>
            </w:r>
            <w:r>
              <w:rPr>
                <w:rFonts w:cs="Arial"/>
                <w:sz w:val="22"/>
                <w:szCs w:val="22"/>
              </w:rPr>
              <w:t>:</w:t>
            </w:r>
          </w:p>
          <w:p w:rsidR="00B07B55" w:rsidRPr="00CF6B42" w:rsidRDefault="00B07B55" w:rsidP="00F15AB3">
            <w:pPr>
              <w:autoSpaceDE w:val="0"/>
              <w:autoSpaceDN w:val="0"/>
              <w:adjustRightInd w:val="0"/>
              <w:ind w:right="73"/>
              <w:jc w:val="both"/>
              <w:rPr>
                <w:rFonts w:cs="Arial"/>
                <w:sz w:val="22"/>
                <w:szCs w:val="22"/>
              </w:rPr>
            </w:pPr>
          </w:p>
          <w:p w:rsidR="00B07B55" w:rsidRPr="00CF6B42" w:rsidRDefault="00B07B55" w:rsidP="00094898">
            <w:pPr>
              <w:autoSpaceDE w:val="0"/>
              <w:autoSpaceDN w:val="0"/>
              <w:adjustRightInd w:val="0"/>
              <w:ind w:left="273" w:right="425"/>
              <w:jc w:val="both"/>
              <w:rPr>
                <w:rFonts w:cs="Arial"/>
                <w:i/>
                <w:sz w:val="18"/>
                <w:szCs w:val="18"/>
              </w:rPr>
            </w:pPr>
            <w:r w:rsidRPr="00CF6B42">
              <w:rPr>
                <w:rFonts w:cs="Arial"/>
                <w:i/>
                <w:sz w:val="18"/>
                <w:szCs w:val="18"/>
              </w:rPr>
              <w:t>“6. SOLICITUD PARA DAR COMPETENCIAS AL MUNICIPIO DE SALAMINA EN INMUEBLES DE NIVEL 2 DE INTERVENCIÓN, UBICADOS EN EL CENTRO HISTÓRICO.</w:t>
            </w:r>
          </w:p>
          <w:p w:rsidR="00B07B55" w:rsidRPr="00CF6B42" w:rsidRDefault="00B07B55" w:rsidP="00094898">
            <w:pPr>
              <w:autoSpaceDE w:val="0"/>
              <w:autoSpaceDN w:val="0"/>
              <w:adjustRightInd w:val="0"/>
              <w:ind w:left="273" w:right="425"/>
              <w:jc w:val="both"/>
              <w:rPr>
                <w:rFonts w:cs="Arial"/>
                <w:i/>
                <w:sz w:val="22"/>
                <w:szCs w:val="22"/>
              </w:rPr>
            </w:pPr>
          </w:p>
          <w:p w:rsidR="00B07B55" w:rsidRPr="00CF6B42" w:rsidRDefault="00B07B55" w:rsidP="00094898">
            <w:pPr>
              <w:autoSpaceDE w:val="0"/>
              <w:autoSpaceDN w:val="0"/>
              <w:adjustRightInd w:val="0"/>
              <w:ind w:left="273" w:right="425"/>
              <w:jc w:val="both"/>
              <w:rPr>
                <w:rFonts w:cs="Arial"/>
                <w:b/>
                <w:i/>
                <w:sz w:val="22"/>
                <w:szCs w:val="22"/>
              </w:rPr>
            </w:pPr>
            <w:r w:rsidRPr="00CF6B42">
              <w:rPr>
                <w:rFonts w:cs="Arial"/>
                <w:b/>
                <w:i/>
                <w:sz w:val="22"/>
                <w:szCs w:val="22"/>
              </w:rPr>
              <w:t xml:space="preserve">Introducción </w:t>
            </w:r>
          </w:p>
          <w:p w:rsidR="00B07B55" w:rsidRPr="00CF6B42" w:rsidRDefault="00B07B55" w:rsidP="00094898">
            <w:pPr>
              <w:autoSpaceDE w:val="0"/>
              <w:autoSpaceDN w:val="0"/>
              <w:adjustRightInd w:val="0"/>
              <w:ind w:left="273" w:right="425"/>
              <w:jc w:val="both"/>
              <w:rPr>
                <w:rFonts w:cs="Arial"/>
                <w:i/>
                <w:sz w:val="22"/>
                <w:szCs w:val="22"/>
              </w:rPr>
            </w:pPr>
          </w:p>
          <w:p w:rsidR="003D52E3" w:rsidRPr="00CF6B42" w:rsidRDefault="00B07B55" w:rsidP="003D52E3">
            <w:pPr>
              <w:autoSpaceDE w:val="0"/>
              <w:autoSpaceDN w:val="0"/>
              <w:adjustRightInd w:val="0"/>
              <w:ind w:left="273" w:right="425"/>
              <w:jc w:val="both"/>
              <w:rPr>
                <w:rFonts w:cs="Arial"/>
                <w:i/>
                <w:sz w:val="22"/>
                <w:szCs w:val="22"/>
              </w:rPr>
            </w:pPr>
            <w:r w:rsidRPr="00CF6B42">
              <w:rPr>
                <w:rFonts w:cs="Arial"/>
                <w:i/>
                <w:sz w:val="22"/>
                <w:szCs w:val="22"/>
              </w:rPr>
              <w:t xml:space="preserve">El coordinador del grupo de Patrimonio Cultural Inmueble Urbano, </w:t>
            </w:r>
            <w:proofErr w:type="spellStart"/>
            <w:r w:rsidRPr="00CF6B42">
              <w:rPr>
                <w:rFonts w:cs="Arial"/>
                <w:i/>
                <w:sz w:val="22"/>
                <w:szCs w:val="22"/>
              </w:rPr>
              <w:t>Yamid</w:t>
            </w:r>
            <w:proofErr w:type="spellEnd"/>
            <w:r w:rsidRPr="00CF6B42">
              <w:rPr>
                <w:rFonts w:cs="Arial"/>
                <w:i/>
                <w:sz w:val="22"/>
                <w:szCs w:val="22"/>
              </w:rPr>
              <w:t xml:space="preserve"> Patiño, explica que el municipio Salamina ha solicitado tener las competencias para atender las solicitudes de los niveles 2 de intervención ubicados en el centro histó</w:t>
            </w:r>
            <w:r w:rsidR="00094898" w:rsidRPr="00CF6B42">
              <w:rPr>
                <w:rFonts w:cs="Arial"/>
                <w:i/>
                <w:sz w:val="22"/>
                <w:szCs w:val="22"/>
              </w:rPr>
              <w:t>rico, de todas formas, es preci</w:t>
            </w:r>
            <w:r w:rsidRPr="00CF6B42">
              <w:rPr>
                <w:rFonts w:cs="Arial"/>
                <w:i/>
                <w:sz w:val="22"/>
                <w:szCs w:val="22"/>
              </w:rPr>
              <w:t>so aclarar que las competencias se entregarían bajo una serie de condiciones que se presentarán más adelan</w:t>
            </w:r>
            <w:r w:rsidR="003D52E3" w:rsidRPr="00CF6B42">
              <w:rPr>
                <w:rFonts w:cs="Arial"/>
                <w:i/>
                <w:sz w:val="22"/>
                <w:szCs w:val="22"/>
              </w:rPr>
              <w:t>te</w:t>
            </w:r>
            <w:r w:rsidRPr="00CF6B42">
              <w:rPr>
                <w:rFonts w:cs="Arial"/>
                <w:i/>
                <w:sz w:val="22"/>
                <w:szCs w:val="22"/>
              </w:rPr>
              <w:t>:</w:t>
            </w:r>
            <w:r w:rsidR="003D52E3" w:rsidRPr="00CF6B42">
              <w:rPr>
                <w:rFonts w:cs="Arial"/>
                <w:i/>
                <w:sz w:val="22"/>
                <w:szCs w:val="22"/>
              </w:rPr>
              <w:t xml:space="preserve"> (…)</w:t>
            </w:r>
          </w:p>
          <w:p w:rsidR="00B07B55" w:rsidRPr="00CF6B42" w:rsidRDefault="00B07B55" w:rsidP="00094898">
            <w:pPr>
              <w:autoSpaceDE w:val="0"/>
              <w:autoSpaceDN w:val="0"/>
              <w:adjustRightInd w:val="0"/>
              <w:ind w:left="273" w:right="425"/>
              <w:jc w:val="both"/>
              <w:rPr>
                <w:rFonts w:cs="Arial"/>
                <w:i/>
                <w:sz w:val="22"/>
                <w:szCs w:val="22"/>
              </w:rPr>
            </w:pPr>
          </w:p>
          <w:p w:rsidR="00B07B55" w:rsidRPr="00CF6B42" w:rsidRDefault="00A9296B" w:rsidP="00094898">
            <w:pPr>
              <w:autoSpaceDE w:val="0"/>
              <w:autoSpaceDN w:val="0"/>
              <w:adjustRightInd w:val="0"/>
              <w:ind w:left="273" w:right="425"/>
              <w:jc w:val="both"/>
              <w:rPr>
                <w:rFonts w:cs="Arial"/>
                <w:i/>
                <w:sz w:val="22"/>
                <w:szCs w:val="22"/>
              </w:rPr>
            </w:pPr>
            <w:r w:rsidRPr="00CF6B42">
              <w:rPr>
                <w:rFonts w:cs="Arial"/>
                <w:i/>
                <w:sz w:val="22"/>
                <w:szCs w:val="22"/>
              </w:rPr>
              <w:t>(…)</w:t>
            </w:r>
          </w:p>
          <w:p w:rsidR="00A9296B" w:rsidRPr="00CF6B42" w:rsidRDefault="00A9296B" w:rsidP="00094898">
            <w:pPr>
              <w:autoSpaceDE w:val="0"/>
              <w:autoSpaceDN w:val="0"/>
              <w:adjustRightInd w:val="0"/>
              <w:ind w:left="273" w:right="425"/>
              <w:jc w:val="both"/>
              <w:rPr>
                <w:rFonts w:cs="Arial"/>
                <w:i/>
                <w:sz w:val="22"/>
                <w:szCs w:val="22"/>
              </w:rPr>
            </w:pPr>
          </w:p>
          <w:p w:rsidR="00B07B55" w:rsidRPr="00CF6B42" w:rsidRDefault="00B07B55" w:rsidP="00094898">
            <w:pPr>
              <w:autoSpaceDE w:val="0"/>
              <w:autoSpaceDN w:val="0"/>
              <w:adjustRightInd w:val="0"/>
              <w:ind w:left="273" w:right="425"/>
              <w:jc w:val="both"/>
              <w:rPr>
                <w:rFonts w:cs="Arial"/>
                <w:b/>
                <w:i/>
                <w:sz w:val="22"/>
                <w:szCs w:val="22"/>
              </w:rPr>
            </w:pPr>
            <w:r w:rsidRPr="00CF6B42">
              <w:rPr>
                <w:rFonts w:cs="Arial"/>
                <w:b/>
                <w:i/>
                <w:sz w:val="22"/>
                <w:szCs w:val="22"/>
              </w:rPr>
              <w:t xml:space="preserve">JUSTIFICACIÓN DE LA MODIFICACIÓN </w:t>
            </w:r>
          </w:p>
          <w:p w:rsidR="00B07B55" w:rsidRPr="00CF6B42" w:rsidRDefault="00B07B55" w:rsidP="00094898">
            <w:pPr>
              <w:autoSpaceDE w:val="0"/>
              <w:autoSpaceDN w:val="0"/>
              <w:adjustRightInd w:val="0"/>
              <w:ind w:left="273" w:right="425"/>
              <w:jc w:val="both"/>
              <w:rPr>
                <w:rFonts w:cs="Arial"/>
                <w:i/>
                <w:sz w:val="22"/>
                <w:szCs w:val="22"/>
              </w:rPr>
            </w:pPr>
          </w:p>
          <w:p w:rsidR="00B07B55" w:rsidRPr="00CF6B42" w:rsidRDefault="00B07B55" w:rsidP="00094898">
            <w:pPr>
              <w:autoSpaceDE w:val="0"/>
              <w:autoSpaceDN w:val="0"/>
              <w:adjustRightInd w:val="0"/>
              <w:ind w:left="273" w:right="425"/>
              <w:jc w:val="both"/>
              <w:rPr>
                <w:rFonts w:cs="Arial"/>
                <w:i/>
                <w:sz w:val="22"/>
                <w:szCs w:val="22"/>
              </w:rPr>
            </w:pPr>
            <w:r w:rsidRPr="00CF6B42">
              <w:rPr>
                <w:rFonts w:cs="Arial"/>
                <w:i/>
                <w:sz w:val="22"/>
                <w:szCs w:val="22"/>
              </w:rPr>
              <w:t>Actualmente se está desarrollando una consultoría donde se generarán 90 fichas normativas para inmuebles de Nivel 2, las cuales serán documentos con una norma clara predio a predio sin lugar a interpretaciones o subjetividades en la evaluación de proyectos. Se considera oportuno que adicional a las competencias que ya se tienen delegadas sobre el Nivel 3, se puedan otorgar competencias sobre aquellos inmuebles de Nivel 2 con ficha normativa, de tal manera que se mejoren los procedimientos y tiempos de revisión de proyectos y la posibilidad de que la ciudadanía y la administración gestione su propio patrimonio.</w:t>
            </w:r>
          </w:p>
          <w:p w:rsidR="00B07B55" w:rsidRPr="00CF6B42" w:rsidRDefault="00B07B55" w:rsidP="00094898">
            <w:pPr>
              <w:autoSpaceDE w:val="0"/>
              <w:autoSpaceDN w:val="0"/>
              <w:adjustRightInd w:val="0"/>
              <w:ind w:left="273" w:right="425"/>
              <w:jc w:val="both"/>
              <w:rPr>
                <w:rFonts w:cs="Arial"/>
                <w:i/>
                <w:sz w:val="22"/>
                <w:szCs w:val="22"/>
              </w:rPr>
            </w:pPr>
          </w:p>
          <w:p w:rsidR="00B07B55" w:rsidRPr="00CF6B42" w:rsidRDefault="00B07B55" w:rsidP="00094898">
            <w:pPr>
              <w:autoSpaceDE w:val="0"/>
              <w:autoSpaceDN w:val="0"/>
              <w:adjustRightInd w:val="0"/>
              <w:ind w:left="273" w:right="425"/>
              <w:jc w:val="both"/>
              <w:rPr>
                <w:rFonts w:cs="Arial"/>
                <w:b/>
                <w:i/>
                <w:sz w:val="22"/>
                <w:szCs w:val="22"/>
              </w:rPr>
            </w:pPr>
            <w:r w:rsidRPr="00CF6B42">
              <w:rPr>
                <w:rFonts w:cs="Arial"/>
                <w:b/>
                <w:i/>
                <w:sz w:val="22"/>
                <w:szCs w:val="22"/>
              </w:rPr>
              <w:t xml:space="preserve">SEGUIMIENTO </w:t>
            </w:r>
          </w:p>
          <w:p w:rsidR="00B07B55" w:rsidRPr="00CF6B42" w:rsidRDefault="00B07B55" w:rsidP="00094898">
            <w:pPr>
              <w:autoSpaceDE w:val="0"/>
              <w:autoSpaceDN w:val="0"/>
              <w:adjustRightInd w:val="0"/>
              <w:ind w:left="273" w:right="425"/>
              <w:jc w:val="both"/>
              <w:rPr>
                <w:rFonts w:cs="Arial"/>
                <w:i/>
                <w:sz w:val="22"/>
                <w:szCs w:val="22"/>
              </w:rPr>
            </w:pPr>
          </w:p>
          <w:p w:rsidR="00B07B55" w:rsidRPr="00CF6B42" w:rsidRDefault="00B07B55" w:rsidP="00094898">
            <w:pPr>
              <w:autoSpaceDE w:val="0"/>
              <w:autoSpaceDN w:val="0"/>
              <w:adjustRightInd w:val="0"/>
              <w:ind w:left="273" w:right="425"/>
              <w:jc w:val="both"/>
              <w:rPr>
                <w:rFonts w:cs="Arial"/>
                <w:i/>
                <w:sz w:val="22"/>
                <w:szCs w:val="22"/>
              </w:rPr>
            </w:pPr>
            <w:r w:rsidRPr="00CF6B42">
              <w:rPr>
                <w:rFonts w:cs="Arial"/>
                <w:i/>
                <w:sz w:val="22"/>
                <w:szCs w:val="22"/>
              </w:rPr>
              <w:t xml:space="preserve">A efecto de poder realizar un seguimiento efectivo se ha propuesto lo siguiente: </w:t>
            </w:r>
          </w:p>
          <w:p w:rsidR="00A9296B" w:rsidRPr="00CF6B42" w:rsidRDefault="00A9296B" w:rsidP="00094898">
            <w:pPr>
              <w:autoSpaceDE w:val="0"/>
              <w:autoSpaceDN w:val="0"/>
              <w:adjustRightInd w:val="0"/>
              <w:ind w:left="273" w:right="425"/>
              <w:jc w:val="both"/>
              <w:rPr>
                <w:rFonts w:cs="Arial"/>
                <w:i/>
                <w:sz w:val="22"/>
                <w:szCs w:val="22"/>
              </w:rPr>
            </w:pPr>
          </w:p>
          <w:p w:rsidR="00B07B55" w:rsidRPr="00CF6B42" w:rsidRDefault="00B07B55" w:rsidP="00094898">
            <w:pPr>
              <w:pStyle w:val="Prrafodelista"/>
              <w:numPr>
                <w:ilvl w:val="0"/>
                <w:numId w:val="14"/>
              </w:numPr>
              <w:autoSpaceDE w:val="0"/>
              <w:autoSpaceDN w:val="0"/>
              <w:adjustRightInd w:val="0"/>
              <w:ind w:left="273" w:right="425" w:firstLine="0"/>
              <w:jc w:val="both"/>
              <w:rPr>
                <w:rFonts w:cs="Arial"/>
                <w:i/>
                <w:sz w:val="22"/>
                <w:szCs w:val="22"/>
              </w:rPr>
            </w:pPr>
            <w:r w:rsidRPr="00CF6B42">
              <w:rPr>
                <w:rFonts w:cs="Arial"/>
                <w:i/>
                <w:sz w:val="22"/>
                <w:szCs w:val="22"/>
              </w:rPr>
              <w:t xml:space="preserve">Veeduría y asesoría de la Junta Local de Patrimonio. </w:t>
            </w:r>
          </w:p>
          <w:p w:rsidR="00B07B55" w:rsidRPr="00CF6B42" w:rsidRDefault="00B07B55" w:rsidP="00094898">
            <w:pPr>
              <w:pStyle w:val="Prrafodelista"/>
              <w:numPr>
                <w:ilvl w:val="0"/>
                <w:numId w:val="14"/>
              </w:numPr>
              <w:autoSpaceDE w:val="0"/>
              <w:autoSpaceDN w:val="0"/>
              <w:adjustRightInd w:val="0"/>
              <w:ind w:left="273" w:right="425" w:firstLine="0"/>
              <w:jc w:val="both"/>
              <w:rPr>
                <w:rFonts w:cs="Arial"/>
                <w:i/>
                <w:sz w:val="22"/>
                <w:szCs w:val="22"/>
              </w:rPr>
            </w:pPr>
            <w:r w:rsidRPr="00CF6B42">
              <w:rPr>
                <w:rFonts w:cs="Arial"/>
                <w:i/>
                <w:sz w:val="22"/>
                <w:szCs w:val="22"/>
              </w:rPr>
              <w:t>Cumplimiento del convenio, donde se establecen las condiciones para mantener la delegación de competencias.</w:t>
            </w:r>
          </w:p>
          <w:p w:rsidR="00B07B55" w:rsidRPr="00CF6B42" w:rsidRDefault="00B07B55" w:rsidP="00094898">
            <w:pPr>
              <w:pStyle w:val="Prrafodelista"/>
              <w:numPr>
                <w:ilvl w:val="0"/>
                <w:numId w:val="14"/>
              </w:numPr>
              <w:autoSpaceDE w:val="0"/>
              <w:autoSpaceDN w:val="0"/>
              <w:adjustRightInd w:val="0"/>
              <w:ind w:left="273" w:right="425" w:firstLine="0"/>
              <w:jc w:val="both"/>
              <w:rPr>
                <w:rFonts w:cs="Arial"/>
                <w:i/>
                <w:sz w:val="22"/>
                <w:szCs w:val="22"/>
              </w:rPr>
            </w:pPr>
            <w:r w:rsidRPr="00CF6B42">
              <w:rPr>
                <w:rFonts w:cs="Arial"/>
                <w:i/>
                <w:sz w:val="22"/>
                <w:szCs w:val="22"/>
              </w:rPr>
              <w:t xml:space="preserve"> Acompañamiento y capacitación constante de la Dirección de Patrimonio y Memoria. </w:t>
            </w:r>
          </w:p>
          <w:p w:rsidR="00B07B55" w:rsidRPr="00CF6B42" w:rsidRDefault="00B07B55" w:rsidP="00094898">
            <w:pPr>
              <w:autoSpaceDE w:val="0"/>
              <w:autoSpaceDN w:val="0"/>
              <w:adjustRightInd w:val="0"/>
              <w:ind w:left="273" w:right="425"/>
              <w:jc w:val="both"/>
              <w:rPr>
                <w:rFonts w:cs="Arial"/>
                <w:i/>
                <w:sz w:val="22"/>
                <w:szCs w:val="22"/>
              </w:rPr>
            </w:pPr>
          </w:p>
          <w:p w:rsidR="00B07B55" w:rsidRPr="00CF6B42" w:rsidRDefault="00685CED" w:rsidP="00094898">
            <w:pPr>
              <w:autoSpaceDE w:val="0"/>
              <w:autoSpaceDN w:val="0"/>
              <w:adjustRightInd w:val="0"/>
              <w:ind w:left="273" w:right="425"/>
              <w:jc w:val="both"/>
              <w:rPr>
                <w:rFonts w:cs="Arial"/>
                <w:i/>
                <w:sz w:val="22"/>
                <w:szCs w:val="22"/>
              </w:rPr>
            </w:pPr>
            <w:r w:rsidRPr="00CF6B42">
              <w:rPr>
                <w:rFonts w:cs="Arial"/>
                <w:i/>
                <w:sz w:val="22"/>
                <w:szCs w:val="22"/>
              </w:rPr>
              <w:t>(…)</w:t>
            </w:r>
          </w:p>
          <w:p w:rsidR="00685CED" w:rsidRPr="00CF6B42" w:rsidRDefault="00685CED" w:rsidP="00094898">
            <w:pPr>
              <w:autoSpaceDE w:val="0"/>
              <w:autoSpaceDN w:val="0"/>
              <w:adjustRightInd w:val="0"/>
              <w:ind w:left="273" w:right="425"/>
              <w:jc w:val="both"/>
              <w:rPr>
                <w:rFonts w:cs="Arial"/>
                <w:i/>
                <w:sz w:val="22"/>
                <w:szCs w:val="22"/>
              </w:rPr>
            </w:pPr>
          </w:p>
          <w:p w:rsidR="00B07B55" w:rsidRPr="00CF6B42" w:rsidRDefault="00B07B55" w:rsidP="00094898">
            <w:pPr>
              <w:autoSpaceDE w:val="0"/>
              <w:autoSpaceDN w:val="0"/>
              <w:adjustRightInd w:val="0"/>
              <w:ind w:left="273" w:right="425"/>
              <w:jc w:val="both"/>
              <w:rPr>
                <w:rFonts w:cs="Arial"/>
                <w:b/>
                <w:i/>
                <w:sz w:val="22"/>
                <w:szCs w:val="22"/>
              </w:rPr>
            </w:pPr>
            <w:r w:rsidRPr="00CF6B42">
              <w:rPr>
                <w:rFonts w:cs="Arial"/>
                <w:b/>
                <w:i/>
                <w:sz w:val="22"/>
                <w:szCs w:val="22"/>
              </w:rPr>
              <w:t xml:space="preserve">Conclusiones </w:t>
            </w:r>
          </w:p>
          <w:p w:rsidR="00B07B55" w:rsidRPr="00CF6B42" w:rsidRDefault="00B07B55" w:rsidP="00094898">
            <w:pPr>
              <w:autoSpaceDE w:val="0"/>
              <w:autoSpaceDN w:val="0"/>
              <w:adjustRightInd w:val="0"/>
              <w:ind w:left="273" w:right="425"/>
              <w:jc w:val="both"/>
              <w:rPr>
                <w:rFonts w:cs="Arial"/>
                <w:i/>
                <w:sz w:val="22"/>
                <w:szCs w:val="22"/>
              </w:rPr>
            </w:pPr>
          </w:p>
          <w:p w:rsidR="00B07B55" w:rsidRPr="00CF6B42" w:rsidRDefault="00B07B55" w:rsidP="00094898">
            <w:pPr>
              <w:autoSpaceDE w:val="0"/>
              <w:autoSpaceDN w:val="0"/>
              <w:adjustRightInd w:val="0"/>
              <w:ind w:left="273" w:right="425"/>
              <w:jc w:val="both"/>
              <w:rPr>
                <w:rFonts w:cs="Arial"/>
                <w:i/>
                <w:sz w:val="22"/>
                <w:szCs w:val="22"/>
              </w:rPr>
            </w:pPr>
            <w:r w:rsidRPr="00CF6B42">
              <w:rPr>
                <w:rFonts w:cs="Arial"/>
                <w:i/>
                <w:sz w:val="22"/>
                <w:szCs w:val="22"/>
              </w:rPr>
              <w:t xml:space="preserve">El Director de Patrimonio y Memoria somete a consideración de los miembros del CNPC la solicitud para dar competencias al municipio de Salamina en inmuebles de nivel 2 de intervención, ubicados en el centro histórico, previo concepto de la Junta de Patrimonio. Por unanimidad la solicitud recibe concepto favorable” </w:t>
            </w:r>
          </w:p>
          <w:p w:rsidR="00B07B55" w:rsidRPr="00CF6B42" w:rsidRDefault="00B07B55" w:rsidP="00F15AB3">
            <w:pPr>
              <w:autoSpaceDE w:val="0"/>
              <w:autoSpaceDN w:val="0"/>
              <w:adjustRightInd w:val="0"/>
              <w:ind w:right="73"/>
              <w:jc w:val="both"/>
              <w:rPr>
                <w:rFonts w:cs="Arial"/>
                <w:sz w:val="22"/>
                <w:szCs w:val="22"/>
              </w:rPr>
            </w:pPr>
          </w:p>
          <w:p w:rsidR="006D58D8" w:rsidRPr="00CF6B42" w:rsidRDefault="006D58D8" w:rsidP="00F15AB3">
            <w:pPr>
              <w:autoSpaceDE w:val="0"/>
              <w:autoSpaceDN w:val="0"/>
              <w:adjustRightInd w:val="0"/>
              <w:ind w:right="73"/>
              <w:jc w:val="both"/>
              <w:rPr>
                <w:rFonts w:cs="Arial"/>
                <w:color w:val="000000"/>
                <w:sz w:val="22"/>
                <w:szCs w:val="22"/>
                <w:lang w:val="es-CO" w:eastAsia="es-CO"/>
              </w:rPr>
            </w:pPr>
            <w:r w:rsidRPr="00CF6B42">
              <w:rPr>
                <w:rFonts w:cs="Arial"/>
                <w:color w:val="000000"/>
                <w:sz w:val="22"/>
                <w:szCs w:val="22"/>
                <w:lang w:val="es-CO" w:eastAsia="es-CO"/>
              </w:rPr>
              <w:t xml:space="preserve">En virtud de lo anterior el Ministerio de Cultura puede evidenciar que la modificación propuesta al PEMP cumple con los requisitos establecidos. </w:t>
            </w:r>
          </w:p>
          <w:p w:rsidR="006D58D8" w:rsidRPr="00CF6B42" w:rsidRDefault="006D58D8" w:rsidP="00F15AB3">
            <w:pPr>
              <w:autoSpaceDE w:val="0"/>
              <w:autoSpaceDN w:val="0"/>
              <w:adjustRightInd w:val="0"/>
              <w:ind w:right="73"/>
              <w:jc w:val="both"/>
              <w:rPr>
                <w:rFonts w:cs="Arial"/>
                <w:sz w:val="22"/>
                <w:szCs w:val="22"/>
              </w:rPr>
            </w:pPr>
          </w:p>
          <w:p w:rsidR="00983D99" w:rsidRPr="00CF6B42" w:rsidRDefault="00983D99" w:rsidP="00B71102">
            <w:pPr>
              <w:tabs>
                <w:tab w:val="left" w:pos="10345"/>
              </w:tabs>
              <w:autoSpaceDE w:val="0"/>
              <w:autoSpaceDN w:val="0"/>
              <w:adjustRightInd w:val="0"/>
              <w:ind w:right="214"/>
              <w:jc w:val="both"/>
              <w:rPr>
                <w:rFonts w:cs="Arial"/>
                <w:color w:val="000000"/>
                <w:sz w:val="22"/>
                <w:szCs w:val="22"/>
                <w:lang w:val="es-CO" w:eastAsia="es-CO"/>
              </w:rPr>
            </w:pPr>
            <w:r w:rsidRPr="00CF6B42">
              <w:rPr>
                <w:rFonts w:cs="Arial"/>
                <w:color w:val="000000"/>
                <w:sz w:val="22"/>
                <w:szCs w:val="22"/>
                <w:lang w:val="es-CO" w:eastAsia="es-CO"/>
              </w:rPr>
              <w:t xml:space="preserve">En lo que atañe a la publicación del proyecto de resolución, el mismo se debe publicar conforme a las reglas consignadas para estos efectos en el Decreto 1081 de 2015 en su artículo 2.1.2.1.14, que establece como regla general que el acto administrativo que se deba publicar cumpla con unos términos de “por lo menos quince (15) días calendario, antes de ser remitidos a la Secretaría Jurídica de la Presidencia de la República.”. </w:t>
            </w:r>
          </w:p>
          <w:p w:rsidR="00983D99" w:rsidRPr="00CF6B42" w:rsidRDefault="00983D99" w:rsidP="00CD700F">
            <w:pPr>
              <w:tabs>
                <w:tab w:val="left" w:pos="10345"/>
              </w:tabs>
              <w:autoSpaceDE w:val="0"/>
              <w:autoSpaceDN w:val="0"/>
              <w:adjustRightInd w:val="0"/>
              <w:ind w:right="214"/>
              <w:jc w:val="both"/>
              <w:rPr>
                <w:rFonts w:cs="Arial"/>
                <w:color w:val="000000" w:themeColor="text1"/>
                <w:sz w:val="22"/>
                <w:szCs w:val="22"/>
              </w:rPr>
            </w:pPr>
          </w:p>
          <w:p w:rsidR="003D52E3" w:rsidRPr="00CF6B42" w:rsidRDefault="003D52E3" w:rsidP="00CD700F">
            <w:pPr>
              <w:tabs>
                <w:tab w:val="left" w:pos="10345"/>
              </w:tabs>
              <w:autoSpaceDE w:val="0"/>
              <w:autoSpaceDN w:val="0"/>
              <w:adjustRightInd w:val="0"/>
              <w:ind w:right="214"/>
              <w:jc w:val="both"/>
              <w:rPr>
                <w:rFonts w:cs="Arial"/>
                <w:color w:val="000000" w:themeColor="text1"/>
                <w:sz w:val="22"/>
                <w:szCs w:val="22"/>
              </w:rPr>
            </w:pPr>
          </w:p>
          <w:p w:rsidR="003D52E3" w:rsidRPr="00CF6B42" w:rsidRDefault="003D52E3" w:rsidP="00CD700F">
            <w:pPr>
              <w:tabs>
                <w:tab w:val="left" w:pos="10345"/>
              </w:tabs>
              <w:autoSpaceDE w:val="0"/>
              <w:autoSpaceDN w:val="0"/>
              <w:adjustRightInd w:val="0"/>
              <w:ind w:right="214"/>
              <w:jc w:val="both"/>
              <w:rPr>
                <w:rFonts w:cs="Arial"/>
                <w:color w:val="000000" w:themeColor="text1"/>
                <w:sz w:val="22"/>
                <w:szCs w:val="22"/>
              </w:rPr>
            </w:pPr>
          </w:p>
        </w:tc>
      </w:tr>
      <w:tr w:rsidR="00983D99" w:rsidRPr="00CF6B42" w:rsidTr="00B71102">
        <w:trPr>
          <w:trHeight w:val="271"/>
        </w:trPr>
        <w:tc>
          <w:tcPr>
            <w:tcW w:w="10774" w:type="dxa"/>
            <w:gridSpan w:val="3"/>
            <w:shd w:val="clear" w:color="auto" w:fill="FFFFFF"/>
            <w:vAlign w:val="center"/>
          </w:tcPr>
          <w:p w:rsidR="00983D99" w:rsidRPr="00CF6B42" w:rsidRDefault="00983D99" w:rsidP="00B71102">
            <w:pPr>
              <w:tabs>
                <w:tab w:val="left" w:pos="10345"/>
              </w:tabs>
              <w:autoSpaceDE w:val="0"/>
              <w:autoSpaceDN w:val="0"/>
              <w:adjustRightInd w:val="0"/>
              <w:ind w:right="214"/>
              <w:jc w:val="both"/>
              <w:rPr>
                <w:rFonts w:cs="Arial"/>
                <w:sz w:val="22"/>
                <w:szCs w:val="22"/>
              </w:rPr>
            </w:pPr>
          </w:p>
        </w:tc>
      </w:tr>
      <w:tr w:rsidR="00983D99" w:rsidRPr="00CF6B42" w:rsidTr="00B71102">
        <w:trPr>
          <w:trHeight w:val="66"/>
        </w:trPr>
        <w:tc>
          <w:tcPr>
            <w:tcW w:w="10774" w:type="dxa"/>
            <w:gridSpan w:val="3"/>
            <w:tcBorders>
              <w:top w:val="single" w:sz="4" w:space="0" w:color="auto"/>
              <w:bottom w:val="single" w:sz="4" w:space="0" w:color="auto"/>
            </w:tcBorders>
            <w:shd w:val="clear" w:color="auto" w:fill="FFFFFF"/>
            <w:vAlign w:val="center"/>
          </w:tcPr>
          <w:p w:rsidR="00983D99" w:rsidRPr="00CF6B42" w:rsidRDefault="00983D99" w:rsidP="00B71102">
            <w:pPr>
              <w:ind w:left="494"/>
              <w:jc w:val="both"/>
              <w:rPr>
                <w:rFonts w:cs="Arial"/>
                <w:b/>
                <w:color w:val="000000"/>
                <w:sz w:val="22"/>
                <w:szCs w:val="22"/>
              </w:rPr>
            </w:pPr>
          </w:p>
          <w:p w:rsidR="00983D99" w:rsidRPr="00CF6B42" w:rsidRDefault="00983D99" w:rsidP="00B71102">
            <w:pPr>
              <w:numPr>
                <w:ilvl w:val="0"/>
                <w:numId w:val="1"/>
              </w:numPr>
              <w:ind w:left="494"/>
              <w:jc w:val="both"/>
              <w:rPr>
                <w:rFonts w:cs="Arial"/>
                <w:b/>
                <w:color w:val="000000"/>
                <w:sz w:val="22"/>
                <w:szCs w:val="22"/>
              </w:rPr>
            </w:pPr>
            <w:r w:rsidRPr="00CF6B42">
              <w:rPr>
                <w:rFonts w:cs="Arial"/>
                <w:b/>
                <w:color w:val="000000"/>
                <w:sz w:val="22"/>
                <w:szCs w:val="22"/>
              </w:rPr>
              <w:t>AMBITO DE APLICACIÓN Y SUJETOS A QUIENES VA DIRIGIDO</w:t>
            </w:r>
          </w:p>
          <w:p w:rsidR="00983D99" w:rsidRPr="00CF6B42" w:rsidRDefault="00983D99" w:rsidP="00B71102">
            <w:pPr>
              <w:pStyle w:val="Listavistosa-nfasis11"/>
              <w:spacing w:line="240" w:lineRule="auto"/>
              <w:ind w:left="0"/>
              <w:jc w:val="both"/>
              <w:rPr>
                <w:rFonts w:ascii="Arial" w:hAnsi="Arial" w:cs="Arial"/>
                <w:i/>
                <w:color w:val="808080"/>
              </w:rPr>
            </w:pPr>
          </w:p>
          <w:p w:rsidR="00153D1D" w:rsidRPr="00CF6B42" w:rsidRDefault="00153D1D" w:rsidP="006D58D8">
            <w:pPr>
              <w:pStyle w:val="Listavistosa-nfasis11"/>
              <w:spacing w:line="240" w:lineRule="auto"/>
              <w:ind w:left="0"/>
              <w:jc w:val="both"/>
              <w:rPr>
                <w:rFonts w:ascii="Arial" w:hAnsi="Arial" w:cs="Arial"/>
                <w:iCs/>
                <w:color w:val="000000"/>
              </w:rPr>
            </w:pPr>
            <w:r w:rsidRPr="00CF6B42">
              <w:rPr>
                <w:rFonts w:ascii="Arial" w:hAnsi="Arial" w:cs="Arial"/>
                <w:bCs/>
                <w:color w:val="333333"/>
                <w:shd w:val="clear" w:color="auto" w:fill="FFFFFF"/>
                <w:lang w:val="es-ES" w:eastAsia="es-ES"/>
              </w:rPr>
              <w:t xml:space="preserve">El ámbito de aplicación está definido en el propio PEMP, tanto en lo que atañe al área afectada como a la zona de influencia en el municipio de </w:t>
            </w:r>
            <w:r w:rsidR="006D58D8" w:rsidRPr="00CF6B42">
              <w:rPr>
                <w:rFonts w:ascii="Arial" w:hAnsi="Arial" w:cs="Arial"/>
                <w:bCs/>
                <w:color w:val="333333"/>
                <w:shd w:val="clear" w:color="auto" w:fill="FFFFFF"/>
                <w:lang w:val="es-ES" w:eastAsia="es-ES"/>
              </w:rPr>
              <w:t xml:space="preserve">Salamina, Caldas. </w:t>
            </w:r>
            <w:r w:rsidRPr="00CF6B42">
              <w:rPr>
                <w:rFonts w:ascii="Arial" w:hAnsi="Arial" w:cs="Arial"/>
                <w:bCs/>
                <w:color w:val="333333"/>
                <w:shd w:val="clear" w:color="auto" w:fill="FFFFFF"/>
                <w:lang w:val="es-ES" w:eastAsia="es-ES"/>
              </w:rPr>
              <w:t xml:space="preserve"> Adicionalmente, el proyecto normativo va dirigido en primera medida a las autoridades municipales con competencia en temas urbanísticos y de planeación, así como a la ciudadanía en general que requiera adelantar trámites ante la alcaldía municipal.</w:t>
            </w:r>
          </w:p>
        </w:tc>
      </w:tr>
      <w:tr w:rsidR="00983D99" w:rsidRPr="00CF6B42" w:rsidTr="00B71102">
        <w:trPr>
          <w:trHeight w:val="278"/>
        </w:trPr>
        <w:tc>
          <w:tcPr>
            <w:tcW w:w="10774" w:type="dxa"/>
            <w:gridSpan w:val="3"/>
            <w:tcBorders>
              <w:bottom w:val="single" w:sz="4" w:space="0" w:color="auto"/>
            </w:tcBorders>
            <w:shd w:val="clear" w:color="auto" w:fill="FFFFFF"/>
            <w:vAlign w:val="center"/>
          </w:tcPr>
          <w:p w:rsidR="00983D99" w:rsidRPr="00CF6B42" w:rsidRDefault="00983D99" w:rsidP="00B71102">
            <w:pPr>
              <w:ind w:left="494" w:hanging="283"/>
              <w:jc w:val="both"/>
              <w:rPr>
                <w:rFonts w:cs="Arial"/>
                <w:b/>
                <w:color w:val="000000"/>
                <w:sz w:val="22"/>
                <w:szCs w:val="22"/>
              </w:rPr>
            </w:pPr>
          </w:p>
          <w:p w:rsidR="00983D99" w:rsidRPr="00CF6B42" w:rsidRDefault="00983D99" w:rsidP="00B71102">
            <w:pPr>
              <w:ind w:left="494" w:hanging="283"/>
              <w:jc w:val="both"/>
              <w:rPr>
                <w:rFonts w:cs="Arial"/>
                <w:b/>
                <w:color w:val="000000"/>
                <w:sz w:val="22"/>
                <w:szCs w:val="22"/>
              </w:rPr>
            </w:pPr>
            <w:r w:rsidRPr="00CF6B42">
              <w:rPr>
                <w:rFonts w:cs="Arial"/>
                <w:b/>
                <w:color w:val="000000"/>
                <w:sz w:val="22"/>
                <w:szCs w:val="22"/>
              </w:rPr>
              <w:t>3. VIABILIDAD JURÍDICA</w:t>
            </w:r>
          </w:p>
          <w:p w:rsidR="00983D99" w:rsidRPr="00CF6B42" w:rsidRDefault="00983D99" w:rsidP="00B71102">
            <w:pPr>
              <w:ind w:left="494" w:hanging="283"/>
              <w:jc w:val="both"/>
              <w:rPr>
                <w:rFonts w:cs="Arial"/>
                <w:i/>
                <w:color w:val="808080"/>
                <w:sz w:val="22"/>
                <w:szCs w:val="22"/>
              </w:rPr>
            </w:pPr>
          </w:p>
          <w:p w:rsidR="00983D99" w:rsidRPr="00CF6B42" w:rsidRDefault="00983D99" w:rsidP="00B71102">
            <w:pPr>
              <w:ind w:left="494" w:hanging="283"/>
              <w:jc w:val="both"/>
              <w:rPr>
                <w:rFonts w:cs="Arial"/>
                <w:sz w:val="22"/>
                <w:szCs w:val="22"/>
                <w:lang w:val="es-CO" w:eastAsia="es-CO"/>
              </w:rPr>
            </w:pPr>
            <w:r w:rsidRPr="00CF6B42">
              <w:rPr>
                <w:rFonts w:cs="Arial"/>
                <w:sz w:val="22"/>
                <w:szCs w:val="22"/>
                <w:lang w:val="es-CO" w:eastAsia="es-CO"/>
              </w:rPr>
              <w:t>3.1 Análisis de las normas que otorgan la competencia para la expedición del proyecto normativo.</w:t>
            </w:r>
          </w:p>
          <w:p w:rsidR="00983D99" w:rsidRPr="00CF6B42" w:rsidRDefault="00983D99" w:rsidP="00B71102">
            <w:pPr>
              <w:ind w:left="494" w:hanging="283"/>
              <w:jc w:val="both"/>
              <w:rPr>
                <w:rFonts w:cs="Arial"/>
                <w:sz w:val="22"/>
                <w:szCs w:val="22"/>
                <w:lang w:val="es-CO" w:eastAsia="es-CO"/>
              </w:rPr>
            </w:pPr>
          </w:p>
          <w:p w:rsidR="00983D99" w:rsidRPr="00CF6B42" w:rsidRDefault="00983D99" w:rsidP="00B71102">
            <w:pPr>
              <w:ind w:left="138"/>
              <w:jc w:val="both"/>
              <w:rPr>
                <w:rFonts w:cs="Arial"/>
                <w:sz w:val="22"/>
                <w:szCs w:val="22"/>
                <w:lang w:val="es-CO" w:eastAsia="es-CO"/>
              </w:rPr>
            </w:pPr>
            <w:r w:rsidRPr="00CF6B42">
              <w:rPr>
                <w:rFonts w:cs="Arial"/>
                <w:sz w:val="22"/>
                <w:szCs w:val="22"/>
                <w:lang w:val="es-CO" w:eastAsia="es-CO"/>
              </w:rPr>
              <w:t xml:space="preserve">Las normas que otorgan competencias al Ministerio de Cultura sobre estos aspectos referidos a los Planes Especiales de Manejo y Protección, están dadas en la Ley 397 de 1997 modificada por la Ley 1185 de 2008. </w:t>
            </w:r>
          </w:p>
          <w:p w:rsidR="00983D99" w:rsidRPr="00CF6B42" w:rsidRDefault="00983D99" w:rsidP="00B71102">
            <w:pPr>
              <w:ind w:right="214"/>
              <w:jc w:val="both"/>
              <w:rPr>
                <w:rFonts w:cs="Arial"/>
                <w:sz w:val="22"/>
                <w:szCs w:val="22"/>
                <w:lang w:val="es-CO" w:eastAsia="es-CO"/>
              </w:rPr>
            </w:pPr>
          </w:p>
          <w:p w:rsidR="00983D99" w:rsidRPr="00CF6B42" w:rsidRDefault="00983D99" w:rsidP="00B71102">
            <w:pPr>
              <w:ind w:left="494" w:right="214" w:hanging="283"/>
              <w:jc w:val="both"/>
              <w:rPr>
                <w:rFonts w:cs="Arial"/>
                <w:sz w:val="22"/>
                <w:szCs w:val="22"/>
                <w:lang w:val="es-CO" w:eastAsia="es-CO"/>
              </w:rPr>
            </w:pPr>
            <w:r w:rsidRPr="00CF6B42">
              <w:rPr>
                <w:rFonts w:cs="Arial"/>
                <w:sz w:val="22"/>
                <w:szCs w:val="22"/>
                <w:lang w:val="es-CO" w:eastAsia="es-CO"/>
              </w:rPr>
              <w:t>3.2 Vigencia de la ley o norma reglamentada o desarrollada</w:t>
            </w:r>
          </w:p>
          <w:p w:rsidR="00983D99" w:rsidRPr="00CF6B42" w:rsidRDefault="00983D99" w:rsidP="00B71102">
            <w:pPr>
              <w:ind w:left="494" w:right="214" w:hanging="283"/>
              <w:jc w:val="both"/>
              <w:rPr>
                <w:rFonts w:cs="Arial"/>
                <w:sz w:val="22"/>
                <w:szCs w:val="22"/>
                <w:lang w:val="es-CO" w:eastAsia="es-CO"/>
              </w:rPr>
            </w:pPr>
          </w:p>
          <w:p w:rsidR="00983D99" w:rsidRPr="00CF6B42" w:rsidRDefault="00983D99" w:rsidP="003D52E3">
            <w:pPr>
              <w:ind w:left="131" w:right="214"/>
              <w:jc w:val="both"/>
              <w:rPr>
                <w:rFonts w:cs="Arial"/>
                <w:sz w:val="22"/>
                <w:szCs w:val="22"/>
              </w:rPr>
            </w:pPr>
            <w:r w:rsidRPr="00CF6B42">
              <w:rPr>
                <w:rFonts w:cs="Arial"/>
                <w:sz w:val="22"/>
                <w:szCs w:val="22"/>
                <w:lang w:val="es-CO" w:eastAsia="es-CO"/>
              </w:rPr>
              <w:t xml:space="preserve">La figura de los PEMP está señalada en la ley 397 de 1997 modificada por la Ley 1185 de 2008, en lo que atañe a estos instrumentos de protección del patrimonio cultural, se encuentran vigentes. De la misma manera, está vigente la Resolución </w:t>
            </w:r>
            <w:r w:rsidR="009F252D" w:rsidRPr="00CF6B42">
              <w:rPr>
                <w:rFonts w:cs="Arial"/>
                <w:sz w:val="22"/>
                <w:szCs w:val="22"/>
              </w:rPr>
              <w:t>N.° 0127 del 24 de enero de 2017, el Ministerio de Cultura aprobó el “</w:t>
            </w:r>
            <w:r w:rsidR="009F252D" w:rsidRPr="00CF6B42">
              <w:rPr>
                <w:rFonts w:cs="Arial"/>
                <w:iCs/>
                <w:sz w:val="22"/>
                <w:szCs w:val="22"/>
              </w:rPr>
              <w:t>Plan Especial de Manejo y Protección (PEMP) del conjunto urbano (Centro Histórico) de Salamina, Caldas y su zona de influencia, declarado bien de interés cultural de carácter Nacional (hoy Bien de Interés Cultual del Ámbito Nacional)”</w:t>
            </w:r>
          </w:p>
          <w:p w:rsidR="009F252D" w:rsidRPr="00CF6B42" w:rsidRDefault="009F252D" w:rsidP="00B71102">
            <w:pPr>
              <w:ind w:right="214"/>
              <w:jc w:val="both"/>
              <w:rPr>
                <w:rFonts w:cs="Arial"/>
                <w:sz w:val="22"/>
                <w:szCs w:val="22"/>
                <w:lang w:val="es-CO" w:eastAsia="es-CO"/>
              </w:rPr>
            </w:pPr>
          </w:p>
          <w:p w:rsidR="00983D99" w:rsidRPr="00CF6B42" w:rsidRDefault="00983D99" w:rsidP="00B71102">
            <w:pPr>
              <w:ind w:left="494" w:right="214" w:hanging="283"/>
              <w:jc w:val="both"/>
              <w:rPr>
                <w:rFonts w:cs="Arial"/>
                <w:sz w:val="22"/>
                <w:szCs w:val="22"/>
                <w:lang w:val="es-CO" w:eastAsia="es-CO"/>
              </w:rPr>
            </w:pPr>
            <w:r w:rsidRPr="00CF6B42">
              <w:rPr>
                <w:rFonts w:cs="Arial"/>
                <w:sz w:val="22"/>
                <w:szCs w:val="22"/>
                <w:lang w:val="es-CO" w:eastAsia="es-CO"/>
              </w:rPr>
              <w:t xml:space="preserve">3.3. Disposiciones derogadas, subrogadas, modificadas, adicionadas o sustituidas </w:t>
            </w:r>
          </w:p>
          <w:p w:rsidR="00983D99" w:rsidRPr="00CF6B42" w:rsidRDefault="00983D99" w:rsidP="00B71102">
            <w:pPr>
              <w:ind w:left="494" w:right="214" w:hanging="283"/>
              <w:jc w:val="both"/>
              <w:rPr>
                <w:rFonts w:cs="Arial"/>
                <w:sz w:val="22"/>
                <w:szCs w:val="22"/>
                <w:lang w:val="es-CO" w:eastAsia="es-CO"/>
              </w:rPr>
            </w:pPr>
          </w:p>
          <w:p w:rsidR="00153D1D" w:rsidRPr="00CF6B42" w:rsidRDefault="006D58D8" w:rsidP="003D52E3">
            <w:pPr>
              <w:ind w:firstLine="131"/>
              <w:jc w:val="both"/>
              <w:rPr>
                <w:rFonts w:cs="Arial"/>
                <w:sz w:val="22"/>
                <w:szCs w:val="22"/>
                <w:lang w:val="es-CO" w:eastAsia="es-CO"/>
              </w:rPr>
            </w:pPr>
            <w:r w:rsidRPr="00CF6B42">
              <w:rPr>
                <w:rFonts w:cs="Arial"/>
                <w:sz w:val="22"/>
                <w:szCs w:val="22"/>
                <w:lang w:val="es-CO" w:eastAsia="es-CO"/>
              </w:rPr>
              <w:t xml:space="preserve">Modificar el Artículo 93 y derogar el Artículo 94 </w:t>
            </w:r>
            <w:r w:rsidR="00153D1D" w:rsidRPr="00CF6B42">
              <w:rPr>
                <w:rFonts w:cs="Arial"/>
                <w:sz w:val="22"/>
                <w:szCs w:val="22"/>
                <w:lang w:val="es-CO" w:eastAsia="es-CO"/>
              </w:rPr>
              <w:t xml:space="preserve">de la Resolución </w:t>
            </w:r>
            <w:r w:rsidRPr="00CF6B42">
              <w:rPr>
                <w:rFonts w:cs="Arial"/>
                <w:sz w:val="22"/>
                <w:szCs w:val="22"/>
                <w:lang w:val="es-CO" w:eastAsia="es-CO"/>
              </w:rPr>
              <w:t>0127 de 2017</w:t>
            </w:r>
            <w:r w:rsidR="00153D1D" w:rsidRPr="00CF6B42">
              <w:rPr>
                <w:rFonts w:cs="Arial"/>
                <w:sz w:val="22"/>
                <w:szCs w:val="22"/>
                <w:lang w:val="es-CO" w:eastAsia="es-CO"/>
              </w:rPr>
              <w:t xml:space="preserve"> </w:t>
            </w:r>
          </w:p>
          <w:p w:rsidR="00983D99" w:rsidRPr="00CF6B42" w:rsidRDefault="00983D99" w:rsidP="00B71102">
            <w:pPr>
              <w:ind w:right="214"/>
              <w:jc w:val="both"/>
              <w:rPr>
                <w:rFonts w:cs="Arial"/>
                <w:sz w:val="22"/>
                <w:szCs w:val="22"/>
                <w:lang w:val="es-CO" w:eastAsia="es-CO"/>
              </w:rPr>
            </w:pPr>
          </w:p>
          <w:p w:rsidR="00983D99" w:rsidRPr="00CF6B42" w:rsidRDefault="00983D99" w:rsidP="00B71102">
            <w:pPr>
              <w:ind w:left="638" w:right="214" w:hanging="427"/>
              <w:jc w:val="both"/>
              <w:rPr>
                <w:rFonts w:cs="Arial"/>
                <w:sz w:val="22"/>
                <w:szCs w:val="22"/>
                <w:lang w:val="es-CO" w:eastAsia="es-CO"/>
              </w:rPr>
            </w:pPr>
            <w:r w:rsidRPr="00CF6B42">
              <w:rPr>
                <w:rFonts w:cs="Arial"/>
                <w:sz w:val="22"/>
                <w:szCs w:val="22"/>
                <w:lang w:val="es-CO" w:eastAsia="es-CO"/>
              </w:rPr>
              <w:t xml:space="preserve">3.4 Revisión y análisis de la jurisprudencia que tenga impacto o sea relevante para la expedición del proyecto normativo (órganos de cierre de cada jurisdicción). </w:t>
            </w:r>
          </w:p>
          <w:p w:rsidR="00983D99" w:rsidRPr="00CF6B42" w:rsidRDefault="00983D99" w:rsidP="00B71102">
            <w:pPr>
              <w:ind w:left="638" w:right="214" w:hanging="427"/>
              <w:jc w:val="both"/>
              <w:rPr>
                <w:rFonts w:cs="Arial"/>
                <w:sz w:val="22"/>
                <w:szCs w:val="22"/>
                <w:lang w:val="es-CO" w:eastAsia="es-CO"/>
              </w:rPr>
            </w:pPr>
          </w:p>
          <w:p w:rsidR="00983D99" w:rsidRPr="00CF6B42" w:rsidRDefault="00983D99" w:rsidP="00B71102">
            <w:pPr>
              <w:ind w:left="638" w:right="214" w:hanging="427"/>
              <w:jc w:val="both"/>
              <w:rPr>
                <w:rFonts w:cs="Arial"/>
                <w:sz w:val="22"/>
                <w:szCs w:val="22"/>
                <w:lang w:val="es-CO" w:eastAsia="es-CO"/>
              </w:rPr>
            </w:pPr>
            <w:r w:rsidRPr="00CF6B42">
              <w:rPr>
                <w:rFonts w:cs="Arial"/>
                <w:sz w:val="22"/>
                <w:szCs w:val="22"/>
                <w:lang w:val="es-CO" w:eastAsia="es-CO"/>
              </w:rPr>
              <w:t xml:space="preserve">Ninguna que sea relevante. </w:t>
            </w:r>
          </w:p>
          <w:p w:rsidR="00983D99" w:rsidRPr="00CF6B42" w:rsidRDefault="00983D99" w:rsidP="00B71102">
            <w:pPr>
              <w:jc w:val="both"/>
              <w:rPr>
                <w:rFonts w:cs="Arial"/>
                <w:sz w:val="22"/>
                <w:szCs w:val="22"/>
                <w:lang w:val="es-CO" w:eastAsia="es-CO"/>
              </w:rPr>
            </w:pPr>
          </w:p>
          <w:p w:rsidR="00983D99" w:rsidRPr="00CF6B42" w:rsidRDefault="00983D99" w:rsidP="00B71102">
            <w:pPr>
              <w:ind w:left="494" w:hanging="283"/>
              <w:jc w:val="both"/>
              <w:rPr>
                <w:rFonts w:cs="Arial"/>
                <w:sz w:val="22"/>
                <w:szCs w:val="22"/>
                <w:lang w:val="es-CO" w:eastAsia="es-CO"/>
              </w:rPr>
            </w:pPr>
            <w:r w:rsidRPr="00CF6B42">
              <w:rPr>
                <w:rFonts w:cs="Arial"/>
                <w:sz w:val="22"/>
                <w:szCs w:val="22"/>
                <w:lang w:val="es-CO" w:eastAsia="es-CO"/>
              </w:rPr>
              <w:t xml:space="preserve">3.5 Circunstancias jurídicas adicionales </w:t>
            </w:r>
          </w:p>
          <w:p w:rsidR="00983D99" w:rsidRPr="00CF6B42" w:rsidRDefault="00983D99" w:rsidP="00B71102">
            <w:pPr>
              <w:ind w:left="494" w:hanging="283"/>
              <w:jc w:val="both"/>
              <w:rPr>
                <w:rFonts w:cs="Arial"/>
                <w:sz w:val="22"/>
                <w:szCs w:val="22"/>
                <w:lang w:val="es-CO" w:eastAsia="es-CO"/>
              </w:rPr>
            </w:pPr>
          </w:p>
          <w:p w:rsidR="00983D99" w:rsidRPr="00CF6B42" w:rsidRDefault="00983D99" w:rsidP="00B71102">
            <w:pPr>
              <w:ind w:left="494" w:hanging="283"/>
              <w:jc w:val="both"/>
              <w:rPr>
                <w:rFonts w:cs="Arial"/>
                <w:sz w:val="22"/>
                <w:szCs w:val="22"/>
                <w:lang w:val="es-CO" w:eastAsia="es-CO"/>
              </w:rPr>
            </w:pPr>
            <w:r w:rsidRPr="00CF6B42">
              <w:rPr>
                <w:rFonts w:cs="Arial"/>
                <w:sz w:val="22"/>
                <w:szCs w:val="22"/>
                <w:lang w:val="es-CO" w:eastAsia="es-CO"/>
              </w:rPr>
              <w:t xml:space="preserve">No se presentan circunstancias jurídicas adicionales. </w:t>
            </w:r>
          </w:p>
          <w:p w:rsidR="00983D99" w:rsidRPr="00CF6B42" w:rsidRDefault="00983D99" w:rsidP="00B71102">
            <w:pPr>
              <w:pBdr>
                <w:top w:val="single" w:sz="4" w:space="1" w:color="auto"/>
                <w:left w:val="single" w:sz="4" w:space="4" w:color="auto"/>
                <w:bottom w:val="single" w:sz="4" w:space="1" w:color="auto"/>
                <w:right w:val="single" w:sz="4" w:space="4" w:color="auto"/>
              </w:pBdr>
              <w:jc w:val="both"/>
              <w:rPr>
                <w:rFonts w:cs="Arial"/>
                <w:sz w:val="22"/>
                <w:szCs w:val="22"/>
                <w:lang w:val="es-CO" w:eastAsia="es-CO"/>
              </w:rPr>
            </w:pPr>
          </w:p>
        </w:tc>
      </w:tr>
      <w:tr w:rsidR="00983D99" w:rsidRPr="00CF6B42" w:rsidTr="00B71102">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83D99" w:rsidRPr="00CF6B42" w:rsidRDefault="00983D99" w:rsidP="00B71102">
            <w:pPr>
              <w:jc w:val="both"/>
              <w:rPr>
                <w:rFonts w:cs="Arial"/>
                <w:b/>
                <w:color w:val="000000"/>
                <w:sz w:val="22"/>
                <w:szCs w:val="22"/>
              </w:rPr>
            </w:pPr>
          </w:p>
          <w:p w:rsidR="00983D99" w:rsidRPr="00CF6B42" w:rsidRDefault="00983D99" w:rsidP="00B71102">
            <w:pPr>
              <w:numPr>
                <w:ilvl w:val="0"/>
                <w:numId w:val="2"/>
              </w:numPr>
              <w:jc w:val="both"/>
              <w:rPr>
                <w:rFonts w:cs="Arial"/>
                <w:b/>
                <w:color w:val="000000"/>
                <w:sz w:val="22"/>
                <w:szCs w:val="22"/>
              </w:rPr>
            </w:pPr>
            <w:r w:rsidRPr="00CF6B42">
              <w:rPr>
                <w:rFonts w:cs="Arial"/>
                <w:b/>
                <w:color w:val="000000"/>
                <w:sz w:val="22"/>
                <w:szCs w:val="22"/>
              </w:rPr>
              <w:t xml:space="preserve">IMPACTO ECONÓMICO </w:t>
            </w:r>
            <w:r w:rsidRPr="00CF6B42">
              <w:rPr>
                <w:rFonts w:cs="Arial"/>
                <w:color w:val="000000"/>
                <w:sz w:val="22"/>
                <w:szCs w:val="22"/>
              </w:rPr>
              <w:t>(Si se requiere)</w:t>
            </w:r>
          </w:p>
          <w:p w:rsidR="00983D99" w:rsidRPr="00CF6B42" w:rsidRDefault="00983D99" w:rsidP="00B71102">
            <w:pPr>
              <w:pStyle w:val="Listavistosa-nfasis11"/>
              <w:jc w:val="both"/>
              <w:rPr>
                <w:rFonts w:ascii="Arial" w:hAnsi="Arial" w:cs="Arial"/>
                <w:i/>
                <w:color w:val="808080"/>
              </w:rPr>
            </w:pPr>
          </w:p>
          <w:p w:rsidR="00983D99" w:rsidRPr="00CF6B42" w:rsidRDefault="00983D99" w:rsidP="00B71102">
            <w:pPr>
              <w:pStyle w:val="Listavistosa-nfasis11"/>
              <w:ind w:right="214"/>
              <w:jc w:val="both"/>
              <w:rPr>
                <w:rFonts w:ascii="Arial" w:hAnsi="Arial" w:cs="Arial"/>
              </w:rPr>
            </w:pPr>
            <w:r w:rsidRPr="00CF6B42">
              <w:rPr>
                <w:rFonts w:ascii="Arial" w:hAnsi="Arial" w:cs="Arial"/>
              </w:rPr>
              <w:t xml:space="preserve">No se presenta ningún impacto económico para el Ministerio en particular, ni para el Gobierno Nacional en general. </w:t>
            </w:r>
          </w:p>
        </w:tc>
      </w:tr>
      <w:tr w:rsidR="00983D99" w:rsidRPr="00CF6B42" w:rsidTr="00B71102">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83D99" w:rsidRPr="00CF6B42" w:rsidRDefault="00983D99" w:rsidP="00B71102">
            <w:pPr>
              <w:jc w:val="both"/>
              <w:rPr>
                <w:rFonts w:cs="Arial"/>
                <w:b/>
                <w:color w:val="000000"/>
                <w:sz w:val="22"/>
                <w:szCs w:val="22"/>
              </w:rPr>
            </w:pPr>
          </w:p>
          <w:p w:rsidR="00983D99" w:rsidRPr="00CF6B42" w:rsidRDefault="00983D99" w:rsidP="00B71102">
            <w:pPr>
              <w:numPr>
                <w:ilvl w:val="0"/>
                <w:numId w:val="2"/>
              </w:numPr>
              <w:jc w:val="both"/>
              <w:rPr>
                <w:rFonts w:cs="Arial"/>
                <w:b/>
                <w:color w:val="000000"/>
                <w:sz w:val="22"/>
                <w:szCs w:val="22"/>
              </w:rPr>
            </w:pPr>
            <w:r w:rsidRPr="00CF6B42">
              <w:rPr>
                <w:rFonts w:cs="Arial"/>
                <w:b/>
                <w:color w:val="000000"/>
                <w:sz w:val="22"/>
                <w:szCs w:val="22"/>
              </w:rPr>
              <w:t xml:space="preserve">VIABILIDAD O DISPONIBILIDAD PRESUPUESTAL </w:t>
            </w:r>
            <w:r w:rsidRPr="00CF6B42">
              <w:rPr>
                <w:rFonts w:cs="Arial"/>
                <w:color w:val="000000"/>
                <w:sz w:val="22"/>
                <w:szCs w:val="22"/>
              </w:rPr>
              <w:t>(Si se requiere)</w:t>
            </w:r>
          </w:p>
          <w:p w:rsidR="00E15892" w:rsidRDefault="00E15892" w:rsidP="00B71102">
            <w:pPr>
              <w:pStyle w:val="Listavistosa-nfasis11"/>
              <w:spacing w:after="0"/>
              <w:ind w:right="214"/>
              <w:jc w:val="both"/>
              <w:rPr>
                <w:rFonts w:ascii="Arial" w:hAnsi="Arial" w:cs="Arial"/>
              </w:rPr>
            </w:pPr>
          </w:p>
          <w:p w:rsidR="00983D99" w:rsidRDefault="00983D99" w:rsidP="00B71102">
            <w:pPr>
              <w:pStyle w:val="Listavistosa-nfasis11"/>
              <w:spacing w:after="0"/>
              <w:ind w:right="214"/>
              <w:jc w:val="both"/>
              <w:rPr>
                <w:rFonts w:ascii="Arial" w:hAnsi="Arial" w:cs="Arial"/>
              </w:rPr>
            </w:pPr>
            <w:r w:rsidRPr="00CF6B42">
              <w:rPr>
                <w:rFonts w:ascii="Arial" w:hAnsi="Arial" w:cs="Arial"/>
              </w:rPr>
              <w:t>N.A.</w:t>
            </w:r>
          </w:p>
          <w:p w:rsidR="00E15892" w:rsidRPr="00CF6B42" w:rsidRDefault="00E15892" w:rsidP="00B71102">
            <w:pPr>
              <w:pStyle w:val="Listavistosa-nfasis11"/>
              <w:spacing w:after="0"/>
              <w:ind w:right="214"/>
              <w:jc w:val="both"/>
              <w:rPr>
                <w:rFonts w:ascii="Arial" w:hAnsi="Arial" w:cs="Arial"/>
              </w:rPr>
            </w:pPr>
          </w:p>
        </w:tc>
      </w:tr>
      <w:tr w:rsidR="00983D99" w:rsidRPr="00CF6B42" w:rsidTr="00B71102">
        <w:trPr>
          <w:trHeight w:val="696"/>
        </w:trPr>
        <w:tc>
          <w:tcPr>
            <w:tcW w:w="10774" w:type="dxa"/>
            <w:gridSpan w:val="3"/>
            <w:tcBorders>
              <w:top w:val="single" w:sz="4" w:space="0" w:color="auto"/>
              <w:bottom w:val="single" w:sz="4" w:space="0" w:color="auto"/>
            </w:tcBorders>
            <w:shd w:val="clear" w:color="auto" w:fill="FFFFFF"/>
            <w:vAlign w:val="center"/>
          </w:tcPr>
          <w:p w:rsidR="00983D99" w:rsidRPr="00CF6B42" w:rsidRDefault="00983D99" w:rsidP="00B71102">
            <w:pPr>
              <w:jc w:val="both"/>
              <w:rPr>
                <w:rFonts w:cs="Arial"/>
                <w:b/>
                <w:color w:val="000000"/>
                <w:sz w:val="22"/>
                <w:szCs w:val="22"/>
              </w:rPr>
            </w:pPr>
          </w:p>
          <w:p w:rsidR="00983D99" w:rsidRPr="00CF6B42" w:rsidRDefault="00983D99" w:rsidP="00B71102">
            <w:pPr>
              <w:numPr>
                <w:ilvl w:val="0"/>
                <w:numId w:val="2"/>
              </w:numPr>
              <w:jc w:val="both"/>
              <w:rPr>
                <w:rFonts w:cs="Arial"/>
                <w:b/>
                <w:color w:val="000000"/>
                <w:sz w:val="22"/>
                <w:szCs w:val="22"/>
              </w:rPr>
            </w:pPr>
            <w:r w:rsidRPr="00CF6B42">
              <w:rPr>
                <w:rFonts w:cs="Arial"/>
                <w:b/>
                <w:color w:val="000000"/>
                <w:sz w:val="22"/>
                <w:szCs w:val="22"/>
              </w:rPr>
              <w:t xml:space="preserve"> IMPACTO MEDIOAMBIENTAL O SOBRE EL PATRIMONIO CULTURAL DE LA NACIÓN </w:t>
            </w:r>
            <w:r w:rsidRPr="00CF6B42">
              <w:rPr>
                <w:rFonts w:cs="Arial"/>
                <w:color w:val="000000"/>
                <w:sz w:val="22"/>
                <w:szCs w:val="22"/>
              </w:rPr>
              <w:t>(Si se requiere)</w:t>
            </w:r>
          </w:p>
          <w:p w:rsidR="00983D99" w:rsidRPr="00CF6B42" w:rsidRDefault="00983D99" w:rsidP="00B71102">
            <w:pPr>
              <w:jc w:val="both"/>
              <w:rPr>
                <w:rFonts w:cs="Arial"/>
                <w:b/>
                <w:color w:val="000000"/>
                <w:sz w:val="22"/>
                <w:szCs w:val="22"/>
              </w:rPr>
            </w:pPr>
          </w:p>
          <w:p w:rsidR="00CD700F" w:rsidRPr="00CF6B42" w:rsidRDefault="00E15892" w:rsidP="00CD700F">
            <w:pPr>
              <w:jc w:val="both"/>
              <w:rPr>
                <w:rFonts w:cs="Arial"/>
                <w:color w:val="000000"/>
                <w:sz w:val="22"/>
                <w:szCs w:val="22"/>
              </w:rPr>
            </w:pPr>
            <w:r>
              <w:rPr>
                <w:rFonts w:cs="Arial"/>
                <w:color w:val="000000"/>
                <w:sz w:val="22"/>
                <w:szCs w:val="22"/>
              </w:rPr>
              <w:t xml:space="preserve">              </w:t>
            </w:r>
            <w:r w:rsidR="00BA2799" w:rsidRPr="00CF6B42">
              <w:rPr>
                <w:rFonts w:cs="Arial"/>
                <w:color w:val="000000"/>
                <w:sz w:val="22"/>
                <w:szCs w:val="22"/>
              </w:rPr>
              <w:t>N.A</w:t>
            </w:r>
          </w:p>
          <w:p w:rsidR="00983D99" w:rsidRPr="00CF6B42" w:rsidRDefault="00983D99" w:rsidP="00CD700F">
            <w:pPr>
              <w:jc w:val="both"/>
              <w:rPr>
                <w:rFonts w:cs="Arial"/>
                <w:color w:val="000000"/>
                <w:sz w:val="22"/>
                <w:szCs w:val="22"/>
              </w:rPr>
            </w:pPr>
            <w:r w:rsidRPr="00CF6B42">
              <w:rPr>
                <w:rFonts w:cs="Arial"/>
                <w:color w:val="000000"/>
                <w:sz w:val="22"/>
                <w:szCs w:val="22"/>
              </w:rPr>
              <w:t xml:space="preserve"> </w:t>
            </w:r>
          </w:p>
        </w:tc>
      </w:tr>
      <w:tr w:rsidR="00983D99" w:rsidRPr="00CF6B42" w:rsidTr="00B71102">
        <w:trPr>
          <w:trHeight w:val="317"/>
        </w:trPr>
        <w:tc>
          <w:tcPr>
            <w:tcW w:w="10774" w:type="dxa"/>
            <w:gridSpan w:val="3"/>
            <w:tcBorders>
              <w:top w:val="single" w:sz="4" w:space="0" w:color="auto"/>
              <w:bottom w:val="single" w:sz="4" w:space="0" w:color="auto"/>
            </w:tcBorders>
            <w:shd w:val="clear" w:color="auto" w:fill="FFFFFF"/>
            <w:vAlign w:val="center"/>
          </w:tcPr>
          <w:p w:rsidR="00983D99" w:rsidRPr="00CF6B42" w:rsidRDefault="00983D99" w:rsidP="00B71102">
            <w:pPr>
              <w:numPr>
                <w:ilvl w:val="0"/>
                <w:numId w:val="2"/>
              </w:numPr>
              <w:jc w:val="both"/>
              <w:rPr>
                <w:rFonts w:cs="Arial"/>
                <w:sz w:val="22"/>
                <w:szCs w:val="22"/>
              </w:rPr>
            </w:pPr>
            <w:r w:rsidRPr="00CF6B42">
              <w:rPr>
                <w:rFonts w:cs="Arial"/>
                <w:b/>
                <w:sz w:val="22"/>
                <w:szCs w:val="22"/>
              </w:rPr>
              <w:t>ESTUDIOS TÉCNICOS QUE SUSTENTEN EL PROYECTO NORMATIVO</w:t>
            </w:r>
            <w:r w:rsidRPr="00CF6B42">
              <w:rPr>
                <w:rFonts w:cs="Arial"/>
                <w:sz w:val="22"/>
                <w:szCs w:val="22"/>
              </w:rPr>
              <w:t xml:space="preserve"> (Si cuenta con ellos) </w:t>
            </w:r>
          </w:p>
        </w:tc>
      </w:tr>
      <w:tr w:rsidR="00983D99" w:rsidRPr="00CF6B42" w:rsidTr="00B71102">
        <w:trPr>
          <w:trHeight w:val="66"/>
        </w:trPr>
        <w:tc>
          <w:tcPr>
            <w:tcW w:w="10774" w:type="dxa"/>
            <w:gridSpan w:val="3"/>
            <w:tcBorders>
              <w:top w:val="single" w:sz="4" w:space="0" w:color="auto"/>
              <w:bottom w:val="single" w:sz="4" w:space="0" w:color="auto"/>
            </w:tcBorders>
            <w:shd w:val="clear" w:color="auto" w:fill="FFFFFF"/>
            <w:vAlign w:val="center"/>
          </w:tcPr>
          <w:p w:rsidR="00153D1D" w:rsidRPr="00E15892" w:rsidRDefault="00983D99" w:rsidP="00E15892">
            <w:pPr>
              <w:jc w:val="both"/>
              <w:rPr>
                <w:rFonts w:cs="Arial"/>
                <w:color w:val="000000"/>
                <w:sz w:val="22"/>
                <w:szCs w:val="22"/>
              </w:rPr>
            </w:pPr>
            <w:r w:rsidRPr="00CF6B42">
              <w:rPr>
                <w:rFonts w:cs="Arial"/>
                <w:color w:val="000000"/>
                <w:sz w:val="22"/>
                <w:szCs w:val="22"/>
              </w:rPr>
              <w:t xml:space="preserve">         </w:t>
            </w:r>
          </w:p>
          <w:p w:rsidR="00153D1D" w:rsidRPr="00CF6B42" w:rsidRDefault="00BA2799" w:rsidP="00153D1D">
            <w:pPr>
              <w:ind w:left="360"/>
              <w:jc w:val="both"/>
              <w:rPr>
                <w:rFonts w:cs="Arial"/>
                <w:sz w:val="22"/>
                <w:szCs w:val="22"/>
              </w:rPr>
            </w:pPr>
            <w:r w:rsidRPr="00CF6B42">
              <w:rPr>
                <w:rFonts w:cs="Arial"/>
                <w:sz w:val="22"/>
                <w:szCs w:val="22"/>
              </w:rPr>
              <w:t>Ver Presentación y Acta</w:t>
            </w:r>
            <w:r w:rsidR="00E15892">
              <w:rPr>
                <w:rFonts w:cs="Arial"/>
                <w:sz w:val="22"/>
                <w:szCs w:val="22"/>
              </w:rPr>
              <w:t xml:space="preserve"> del CNPC</w:t>
            </w:r>
          </w:p>
          <w:p w:rsidR="00983D99" w:rsidRPr="00CF6B42" w:rsidRDefault="00983D99" w:rsidP="00B71102">
            <w:pPr>
              <w:jc w:val="both"/>
              <w:rPr>
                <w:rFonts w:cs="Arial"/>
                <w:color w:val="000000"/>
                <w:sz w:val="22"/>
                <w:szCs w:val="22"/>
              </w:rPr>
            </w:pPr>
          </w:p>
        </w:tc>
      </w:tr>
      <w:tr w:rsidR="00983D99" w:rsidRPr="00CF6B42" w:rsidTr="00B71102">
        <w:trPr>
          <w:trHeight w:val="416"/>
        </w:trPr>
        <w:tc>
          <w:tcPr>
            <w:tcW w:w="10774" w:type="dxa"/>
            <w:gridSpan w:val="3"/>
            <w:tcBorders>
              <w:top w:val="single" w:sz="4" w:space="0" w:color="auto"/>
              <w:bottom w:val="single" w:sz="4" w:space="0" w:color="auto"/>
            </w:tcBorders>
            <w:shd w:val="clear" w:color="auto" w:fill="5B8AFF"/>
            <w:vAlign w:val="center"/>
          </w:tcPr>
          <w:p w:rsidR="00983D99" w:rsidRPr="00CF6B42" w:rsidRDefault="00983D99" w:rsidP="00B71102">
            <w:pPr>
              <w:jc w:val="both"/>
              <w:rPr>
                <w:rFonts w:cs="Arial"/>
                <w:color w:val="FFFFFF"/>
                <w:sz w:val="22"/>
                <w:szCs w:val="22"/>
              </w:rPr>
            </w:pPr>
            <w:r w:rsidRPr="00CF6B42">
              <w:rPr>
                <w:rFonts w:cs="Arial"/>
                <w:b/>
                <w:color w:val="FFFFFF"/>
                <w:sz w:val="22"/>
                <w:szCs w:val="22"/>
              </w:rPr>
              <w:t>ANEXOS:</w:t>
            </w:r>
            <w:r w:rsidRPr="00CF6B42">
              <w:rPr>
                <w:rFonts w:cs="Arial"/>
                <w:color w:val="FFFFFF"/>
                <w:sz w:val="22"/>
                <w:szCs w:val="22"/>
              </w:rPr>
              <w:t xml:space="preserve"> </w:t>
            </w:r>
          </w:p>
        </w:tc>
      </w:tr>
      <w:tr w:rsidR="00983D99" w:rsidRPr="00CF6B42" w:rsidTr="00B71102">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983D99" w:rsidRPr="00CF6B42" w:rsidRDefault="00983D99" w:rsidP="00B71102">
            <w:pPr>
              <w:jc w:val="both"/>
              <w:rPr>
                <w:rFonts w:cs="Arial"/>
                <w:sz w:val="22"/>
                <w:szCs w:val="22"/>
              </w:rPr>
            </w:pPr>
            <w:r w:rsidRPr="00CF6B42">
              <w:rPr>
                <w:rFonts w:cs="Arial"/>
                <w:sz w:val="22"/>
                <w:szCs w:val="22"/>
              </w:rPr>
              <w:t xml:space="preserve">Certificación de cumplimiento de requisitos de consulta, publicidad y de incorporación en la agenda regulatoria </w:t>
            </w:r>
          </w:p>
          <w:p w:rsidR="00983D99" w:rsidRPr="00CF6B42" w:rsidRDefault="00983D99" w:rsidP="00B71102">
            <w:pPr>
              <w:jc w:val="both"/>
              <w:rPr>
                <w:rFonts w:cs="Arial"/>
                <w:i/>
                <w:color w:val="808080"/>
                <w:sz w:val="22"/>
                <w:szCs w:val="22"/>
              </w:rPr>
            </w:pPr>
            <w:r w:rsidRPr="00CF6B42">
              <w:rPr>
                <w:rFonts w:cs="Arial"/>
                <w:i/>
                <w:color w:val="808080"/>
                <w:sz w:val="22"/>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rsidR="00983D99" w:rsidRPr="00CF6B42" w:rsidRDefault="00153D1D" w:rsidP="00B71102">
            <w:pPr>
              <w:jc w:val="both"/>
              <w:rPr>
                <w:rFonts w:cs="Arial"/>
                <w:i/>
                <w:color w:val="FF0000"/>
                <w:sz w:val="22"/>
                <w:szCs w:val="22"/>
              </w:rPr>
            </w:pPr>
            <w:r w:rsidRPr="00CF6B42">
              <w:rPr>
                <w:rFonts w:cs="Arial"/>
                <w:i/>
                <w:color w:val="808080"/>
                <w:sz w:val="22"/>
                <w:szCs w:val="22"/>
              </w:rPr>
              <w:t>X</w:t>
            </w:r>
          </w:p>
        </w:tc>
      </w:tr>
      <w:tr w:rsidR="00983D99" w:rsidRPr="00CF6B42" w:rsidTr="00B71102">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983D99" w:rsidRPr="00CF6B42" w:rsidRDefault="00983D99" w:rsidP="00B71102">
            <w:pPr>
              <w:jc w:val="both"/>
              <w:rPr>
                <w:rFonts w:cs="Arial"/>
                <w:sz w:val="22"/>
                <w:szCs w:val="22"/>
              </w:rPr>
            </w:pPr>
            <w:r w:rsidRPr="00CF6B42">
              <w:rPr>
                <w:rFonts w:cs="Arial"/>
                <w:sz w:val="22"/>
                <w:szCs w:val="22"/>
              </w:rPr>
              <w:t>Concepto(s) de Ministerio de Comercio, Industria y Turismo</w:t>
            </w:r>
          </w:p>
          <w:p w:rsidR="00983D99" w:rsidRPr="00CF6B42" w:rsidRDefault="00983D99" w:rsidP="00B71102">
            <w:pPr>
              <w:jc w:val="both"/>
              <w:rPr>
                <w:rFonts w:cs="Arial"/>
                <w:i/>
                <w:color w:val="808080"/>
                <w:sz w:val="22"/>
                <w:szCs w:val="22"/>
              </w:rPr>
            </w:pPr>
            <w:r w:rsidRPr="00CF6B42">
              <w:rPr>
                <w:rFonts w:cs="Arial"/>
                <w:i/>
                <w:color w:val="808080"/>
                <w:sz w:val="22"/>
                <w:szCs w:val="22"/>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rsidR="00153D1D" w:rsidRPr="00CF6B42" w:rsidRDefault="00153D1D" w:rsidP="00B71102">
            <w:pPr>
              <w:jc w:val="both"/>
              <w:rPr>
                <w:rFonts w:cs="Arial"/>
                <w:i/>
                <w:color w:val="808080"/>
                <w:sz w:val="22"/>
                <w:szCs w:val="22"/>
              </w:rPr>
            </w:pPr>
            <w:r w:rsidRPr="00CF6B42">
              <w:rPr>
                <w:rFonts w:cs="Arial"/>
                <w:i/>
                <w:color w:val="808080"/>
                <w:sz w:val="22"/>
                <w:szCs w:val="22"/>
              </w:rPr>
              <w:t>N/A</w:t>
            </w:r>
          </w:p>
          <w:p w:rsidR="00983D99" w:rsidRPr="00CF6B42" w:rsidRDefault="00983D99" w:rsidP="00B71102">
            <w:pPr>
              <w:jc w:val="both"/>
              <w:rPr>
                <w:rFonts w:cs="Arial"/>
                <w:sz w:val="22"/>
                <w:szCs w:val="22"/>
              </w:rPr>
            </w:pPr>
          </w:p>
        </w:tc>
      </w:tr>
      <w:tr w:rsidR="00983D99" w:rsidRPr="00CF6B42" w:rsidTr="00B71102">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983D99" w:rsidRPr="00CF6B42" w:rsidRDefault="00983D99" w:rsidP="00B71102">
            <w:pPr>
              <w:jc w:val="both"/>
              <w:rPr>
                <w:rFonts w:cs="Arial"/>
                <w:sz w:val="22"/>
                <w:szCs w:val="22"/>
              </w:rPr>
            </w:pPr>
            <w:r w:rsidRPr="00CF6B42">
              <w:rPr>
                <w:rFonts w:cs="Arial"/>
                <w:sz w:val="22"/>
                <w:szCs w:val="22"/>
              </w:rPr>
              <w:t xml:space="preserve">Informe de observaciones y respuestas </w:t>
            </w:r>
          </w:p>
          <w:p w:rsidR="00983D99" w:rsidRPr="00CF6B42" w:rsidRDefault="00983D99" w:rsidP="00B71102">
            <w:pPr>
              <w:jc w:val="both"/>
              <w:rPr>
                <w:rFonts w:cs="Arial"/>
                <w:i/>
                <w:color w:val="808080"/>
                <w:sz w:val="22"/>
                <w:szCs w:val="22"/>
              </w:rPr>
            </w:pPr>
            <w:r w:rsidRPr="00CF6B42">
              <w:rPr>
                <w:rFonts w:cs="Arial"/>
                <w:i/>
                <w:color w:val="808080"/>
                <w:sz w:val="22"/>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rsidR="00983D99" w:rsidRPr="00CF6B42" w:rsidRDefault="00153D1D" w:rsidP="00B71102">
            <w:pPr>
              <w:jc w:val="both"/>
              <w:rPr>
                <w:rFonts w:cs="Arial"/>
                <w:sz w:val="22"/>
                <w:szCs w:val="22"/>
              </w:rPr>
            </w:pPr>
            <w:r w:rsidRPr="00CF6B42">
              <w:rPr>
                <w:rFonts w:cs="Arial"/>
                <w:i/>
                <w:color w:val="808080"/>
                <w:sz w:val="22"/>
                <w:szCs w:val="22"/>
              </w:rPr>
              <w:t>X</w:t>
            </w:r>
          </w:p>
        </w:tc>
      </w:tr>
      <w:tr w:rsidR="00983D99" w:rsidRPr="00CF6B42" w:rsidTr="00B71102">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983D99" w:rsidRPr="00CF6B42" w:rsidRDefault="00983D99" w:rsidP="00B71102">
            <w:pPr>
              <w:jc w:val="both"/>
              <w:rPr>
                <w:rFonts w:cs="Arial"/>
                <w:sz w:val="22"/>
                <w:szCs w:val="22"/>
              </w:rPr>
            </w:pPr>
            <w:r w:rsidRPr="00CF6B42">
              <w:rPr>
                <w:rFonts w:cs="Arial"/>
                <w:sz w:val="22"/>
                <w:szCs w:val="22"/>
              </w:rPr>
              <w:t>Concepto de Abogacía de la Competencia de la Superintendencia de Industria y Comercio</w:t>
            </w:r>
          </w:p>
          <w:p w:rsidR="00983D99" w:rsidRPr="00CF6B42" w:rsidRDefault="00983D99" w:rsidP="00B71102">
            <w:pPr>
              <w:jc w:val="both"/>
              <w:rPr>
                <w:rFonts w:cs="Arial"/>
                <w:i/>
                <w:color w:val="808080"/>
                <w:sz w:val="22"/>
                <w:szCs w:val="22"/>
              </w:rPr>
            </w:pPr>
            <w:r w:rsidRPr="00CF6B42">
              <w:rPr>
                <w:rFonts w:cs="Arial"/>
                <w:i/>
                <w:color w:val="808080"/>
                <w:sz w:val="22"/>
                <w:szCs w:val="22"/>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vAlign w:val="center"/>
          </w:tcPr>
          <w:p w:rsidR="00983D99" w:rsidRPr="00CF6B42" w:rsidRDefault="00153D1D" w:rsidP="00B71102">
            <w:pPr>
              <w:jc w:val="both"/>
              <w:rPr>
                <w:rFonts w:cs="Arial"/>
                <w:sz w:val="22"/>
                <w:szCs w:val="22"/>
              </w:rPr>
            </w:pPr>
            <w:r w:rsidRPr="00CF6B42">
              <w:rPr>
                <w:rFonts w:cs="Arial"/>
                <w:i/>
                <w:color w:val="808080"/>
                <w:sz w:val="22"/>
                <w:szCs w:val="22"/>
              </w:rPr>
              <w:t>N/A</w:t>
            </w:r>
          </w:p>
        </w:tc>
      </w:tr>
      <w:tr w:rsidR="00983D99" w:rsidRPr="00CF6B42" w:rsidTr="00B71102">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983D99" w:rsidRPr="00CF6B42" w:rsidRDefault="00983D99" w:rsidP="00B71102">
            <w:pPr>
              <w:jc w:val="both"/>
              <w:rPr>
                <w:rFonts w:cs="Arial"/>
                <w:sz w:val="22"/>
                <w:szCs w:val="22"/>
              </w:rPr>
            </w:pPr>
            <w:r w:rsidRPr="00CF6B42">
              <w:rPr>
                <w:rFonts w:cs="Arial"/>
                <w:sz w:val="22"/>
                <w:szCs w:val="22"/>
              </w:rPr>
              <w:t>Concepto de aprobación nuevos trámites del Departamento Administrativo de la Función Pública</w:t>
            </w:r>
          </w:p>
          <w:p w:rsidR="00983D99" w:rsidRPr="00CF6B42" w:rsidRDefault="00983D99" w:rsidP="00B71102">
            <w:pPr>
              <w:jc w:val="both"/>
              <w:rPr>
                <w:rFonts w:cs="Arial"/>
                <w:sz w:val="22"/>
                <w:szCs w:val="22"/>
              </w:rPr>
            </w:pPr>
            <w:r w:rsidRPr="00CF6B42">
              <w:rPr>
                <w:rFonts w:cs="Arial"/>
                <w:i/>
                <w:color w:val="808080"/>
                <w:sz w:val="22"/>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vAlign w:val="center"/>
          </w:tcPr>
          <w:p w:rsidR="00983D99" w:rsidRPr="00CF6B42" w:rsidRDefault="00153D1D" w:rsidP="00B71102">
            <w:pPr>
              <w:jc w:val="both"/>
              <w:rPr>
                <w:rFonts w:cs="Arial"/>
                <w:i/>
                <w:color w:val="808080"/>
                <w:sz w:val="22"/>
                <w:szCs w:val="22"/>
              </w:rPr>
            </w:pPr>
            <w:r w:rsidRPr="00CF6B42">
              <w:rPr>
                <w:rFonts w:cs="Arial"/>
                <w:i/>
                <w:color w:val="808080"/>
                <w:sz w:val="22"/>
                <w:szCs w:val="22"/>
              </w:rPr>
              <w:t>N/A</w:t>
            </w:r>
          </w:p>
          <w:p w:rsidR="00153D1D" w:rsidRPr="00CF6B42" w:rsidRDefault="00153D1D" w:rsidP="00B71102">
            <w:pPr>
              <w:jc w:val="both"/>
              <w:rPr>
                <w:rFonts w:cs="Arial"/>
                <w:sz w:val="22"/>
                <w:szCs w:val="22"/>
              </w:rPr>
            </w:pPr>
          </w:p>
        </w:tc>
      </w:tr>
      <w:tr w:rsidR="00983D99" w:rsidRPr="00CF6B42" w:rsidTr="00B71102">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983D99" w:rsidRPr="00CF6B42" w:rsidRDefault="00983D99" w:rsidP="00B71102">
            <w:pPr>
              <w:jc w:val="both"/>
              <w:rPr>
                <w:rFonts w:cs="Arial"/>
                <w:sz w:val="22"/>
                <w:szCs w:val="22"/>
              </w:rPr>
            </w:pPr>
            <w:r w:rsidRPr="00CF6B42">
              <w:rPr>
                <w:rFonts w:cs="Arial"/>
                <w:sz w:val="22"/>
                <w:szCs w:val="22"/>
              </w:rPr>
              <w:t xml:space="preserve">Otro </w:t>
            </w:r>
          </w:p>
          <w:p w:rsidR="00983D99" w:rsidRPr="00CF6B42" w:rsidRDefault="00983D99" w:rsidP="00B71102">
            <w:pPr>
              <w:jc w:val="both"/>
              <w:rPr>
                <w:rFonts w:cs="Arial"/>
                <w:sz w:val="22"/>
                <w:szCs w:val="22"/>
              </w:rPr>
            </w:pPr>
            <w:r w:rsidRPr="00CF6B42">
              <w:rPr>
                <w:rFonts w:cs="Arial"/>
                <w:i/>
                <w:color w:val="808080"/>
                <w:sz w:val="22"/>
                <w:szCs w:val="22"/>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vAlign w:val="center"/>
          </w:tcPr>
          <w:p w:rsidR="00983D99" w:rsidRPr="00CF6B42" w:rsidRDefault="00153D1D" w:rsidP="00B71102">
            <w:pPr>
              <w:jc w:val="both"/>
              <w:rPr>
                <w:rFonts w:cs="Arial"/>
                <w:sz w:val="22"/>
                <w:szCs w:val="22"/>
              </w:rPr>
            </w:pPr>
            <w:r w:rsidRPr="00CF6B42">
              <w:rPr>
                <w:rFonts w:cs="Arial"/>
                <w:color w:val="808080"/>
                <w:sz w:val="22"/>
                <w:szCs w:val="22"/>
              </w:rPr>
              <w:t>No se visualizan otros aspectos.</w:t>
            </w:r>
          </w:p>
        </w:tc>
      </w:tr>
    </w:tbl>
    <w:p w:rsidR="00983D99" w:rsidRPr="00CF6B42" w:rsidRDefault="00983D99" w:rsidP="00983D99">
      <w:pPr>
        <w:ind w:right="-377"/>
        <w:jc w:val="both"/>
        <w:rPr>
          <w:rFonts w:cs="Arial"/>
          <w:sz w:val="22"/>
          <w:szCs w:val="22"/>
        </w:rPr>
      </w:pPr>
    </w:p>
    <w:p w:rsidR="00983D99" w:rsidRPr="00CF6B42" w:rsidRDefault="00983D99" w:rsidP="00983D99">
      <w:pPr>
        <w:ind w:left="-1276" w:right="-377" w:firstLine="425"/>
        <w:jc w:val="both"/>
        <w:rPr>
          <w:rFonts w:cs="Arial"/>
          <w:bCs/>
          <w:sz w:val="22"/>
          <w:szCs w:val="22"/>
        </w:rPr>
      </w:pPr>
      <w:r w:rsidRPr="00CF6B42">
        <w:rPr>
          <w:rFonts w:cs="Arial"/>
          <w:bCs/>
          <w:sz w:val="22"/>
          <w:szCs w:val="22"/>
        </w:rPr>
        <w:t>Aprobó:</w:t>
      </w:r>
    </w:p>
    <w:p w:rsidR="003E6975" w:rsidRPr="00CF6B42" w:rsidRDefault="003E6975" w:rsidP="00983D99">
      <w:pPr>
        <w:pStyle w:val="Listavistosa-nfasis11"/>
        <w:ind w:left="0"/>
        <w:jc w:val="both"/>
        <w:rPr>
          <w:rFonts w:ascii="Arial" w:hAnsi="Arial" w:cs="Arial"/>
          <w:bCs/>
          <w:lang w:val="es-ES" w:eastAsia="es-ES"/>
        </w:rPr>
      </w:pPr>
    </w:p>
    <w:p w:rsidR="00983D99" w:rsidRPr="00CF6B42" w:rsidRDefault="00983D99" w:rsidP="00983D99">
      <w:pPr>
        <w:pStyle w:val="Listavistosa-nfasis11"/>
        <w:ind w:left="-851"/>
        <w:jc w:val="both"/>
        <w:rPr>
          <w:rFonts w:ascii="Arial" w:hAnsi="Arial" w:cs="Arial"/>
          <w:bCs/>
          <w:lang w:val="es-ES" w:eastAsia="es-ES"/>
        </w:rPr>
      </w:pPr>
    </w:p>
    <w:p w:rsidR="00983D99" w:rsidRPr="00CF6B42" w:rsidRDefault="00983D99" w:rsidP="00983D99">
      <w:pPr>
        <w:pStyle w:val="Listavistosa-nfasis11"/>
        <w:ind w:left="-851" w:right="-801"/>
        <w:jc w:val="both"/>
        <w:rPr>
          <w:rFonts w:ascii="Arial" w:hAnsi="Arial" w:cs="Arial"/>
          <w:b/>
          <w:lang w:val="es-ES" w:eastAsia="es-ES"/>
        </w:rPr>
      </w:pPr>
      <w:r w:rsidRPr="00CF6B42">
        <w:rPr>
          <w:rFonts w:ascii="Arial" w:hAnsi="Arial" w:cs="Arial"/>
          <w:b/>
        </w:rPr>
        <w:t>ALBERTO ESCOVAR WILSON WHITE</w:t>
      </w:r>
      <w:r w:rsidRPr="00CF6B42">
        <w:rPr>
          <w:rFonts w:ascii="Arial" w:hAnsi="Arial" w:cs="Arial"/>
          <w:b/>
          <w:lang w:val="es-ES" w:eastAsia="es-ES"/>
        </w:rPr>
        <w:t xml:space="preserve"> </w:t>
      </w:r>
      <w:r w:rsidRPr="00CF6B42">
        <w:rPr>
          <w:rFonts w:ascii="Arial" w:hAnsi="Arial" w:cs="Arial"/>
          <w:b/>
          <w:lang w:val="es-ES" w:eastAsia="es-ES"/>
        </w:rPr>
        <w:tab/>
      </w:r>
      <w:r w:rsidRPr="00CF6B42">
        <w:rPr>
          <w:rFonts w:ascii="Arial" w:hAnsi="Arial" w:cs="Arial"/>
          <w:b/>
          <w:lang w:val="es-ES" w:eastAsia="es-ES"/>
        </w:rPr>
        <w:tab/>
      </w:r>
      <w:r w:rsidRPr="00CF6B42">
        <w:rPr>
          <w:rFonts w:ascii="Arial" w:hAnsi="Arial" w:cs="Arial"/>
          <w:b/>
          <w:lang w:val="es-ES" w:eastAsia="es-ES"/>
        </w:rPr>
        <w:tab/>
      </w:r>
      <w:r w:rsidRPr="00CF6B42">
        <w:rPr>
          <w:rFonts w:ascii="Arial" w:hAnsi="Arial" w:cs="Arial"/>
          <w:b/>
          <w:lang w:val="es-ES" w:eastAsia="es-ES"/>
        </w:rPr>
        <w:tab/>
        <w:t xml:space="preserve">WALTER ASPRILLA CACERES  </w:t>
      </w:r>
    </w:p>
    <w:p w:rsidR="00983D99" w:rsidRPr="00E15892" w:rsidRDefault="00983D99" w:rsidP="00983D99">
      <w:pPr>
        <w:pStyle w:val="Listavistosa-nfasis11"/>
        <w:ind w:left="-851" w:right="-801"/>
        <w:jc w:val="both"/>
        <w:rPr>
          <w:rFonts w:ascii="Arial" w:hAnsi="Arial" w:cs="Arial"/>
          <w:sz w:val="16"/>
          <w:szCs w:val="16"/>
          <w:lang w:val="es-ES" w:eastAsia="es-ES"/>
        </w:rPr>
      </w:pPr>
      <w:r w:rsidRPr="00E15892">
        <w:rPr>
          <w:rFonts w:ascii="Arial" w:hAnsi="Arial" w:cs="Arial"/>
          <w:sz w:val="16"/>
          <w:szCs w:val="16"/>
          <w:lang w:val="es-ES" w:eastAsia="es-ES"/>
        </w:rPr>
        <w:t xml:space="preserve">Director de Patrimonio y Memoria. </w:t>
      </w:r>
      <w:r w:rsidRPr="00E15892">
        <w:rPr>
          <w:rFonts w:ascii="Arial" w:hAnsi="Arial" w:cs="Arial"/>
          <w:sz w:val="16"/>
          <w:szCs w:val="16"/>
          <w:lang w:val="es-ES" w:eastAsia="es-ES"/>
        </w:rPr>
        <w:tab/>
      </w:r>
      <w:r w:rsidRPr="00E15892">
        <w:rPr>
          <w:rFonts w:ascii="Arial" w:hAnsi="Arial" w:cs="Arial"/>
          <w:sz w:val="16"/>
          <w:szCs w:val="16"/>
          <w:lang w:val="es-ES" w:eastAsia="es-ES"/>
        </w:rPr>
        <w:tab/>
      </w:r>
      <w:r w:rsidRPr="00E15892">
        <w:rPr>
          <w:rFonts w:ascii="Arial" w:hAnsi="Arial" w:cs="Arial"/>
          <w:sz w:val="16"/>
          <w:szCs w:val="16"/>
          <w:lang w:val="es-ES" w:eastAsia="es-ES"/>
        </w:rPr>
        <w:tab/>
      </w:r>
      <w:r w:rsidRPr="00E15892">
        <w:rPr>
          <w:rFonts w:ascii="Arial" w:hAnsi="Arial" w:cs="Arial"/>
          <w:sz w:val="16"/>
          <w:szCs w:val="16"/>
          <w:lang w:val="es-ES" w:eastAsia="es-ES"/>
        </w:rPr>
        <w:tab/>
      </w:r>
      <w:r w:rsidR="00E15892">
        <w:rPr>
          <w:rFonts w:ascii="Arial" w:hAnsi="Arial" w:cs="Arial"/>
          <w:sz w:val="16"/>
          <w:szCs w:val="16"/>
          <w:lang w:val="es-ES" w:eastAsia="es-ES"/>
        </w:rPr>
        <w:tab/>
      </w:r>
      <w:r w:rsidR="00E15892">
        <w:rPr>
          <w:rFonts w:ascii="Arial" w:hAnsi="Arial" w:cs="Arial"/>
          <w:sz w:val="16"/>
          <w:szCs w:val="16"/>
          <w:lang w:val="es-ES" w:eastAsia="es-ES"/>
        </w:rPr>
        <w:tab/>
      </w:r>
      <w:r w:rsidRPr="00E15892">
        <w:rPr>
          <w:rFonts w:ascii="Arial" w:hAnsi="Arial" w:cs="Arial"/>
          <w:sz w:val="16"/>
          <w:szCs w:val="16"/>
          <w:lang w:val="es-ES" w:eastAsia="es-ES"/>
        </w:rPr>
        <w:t>Jefe Oficina Asesora Jurídica.</w:t>
      </w:r>
    </w:p>
    <w:p w:rsidR="00983D99" w:rsidRPr="00E15892" w:rsidRDefault="00983D99" w:rsidP="00983D99">
      <w:pPr>
        <w:pStyle w:val="Listavistosa-nfasis11"/>
        <w:ind w:left="-851"/>
        <w:jc w:val="both"/>
        <w:rPr>
          <w:rFonts w:ascii="Arial" w:hAnsi="Arial" w:cs="Arial"/>
          <w:b/>
          <w:bCs/>
          <w:sz w:val="16"/>
          <w:szCs w:val="16"/>
          <w:lang w:val="es-ES" w:eastAsia="es-ES"/>
        </w:rPr>
      </w:pPr>
    </w:p>
    <w:p w:rsidR="007317BA" w:rsidRDefault="00983D99" w:rsidP="00983D99">
      <w:pPr>
        <w:pStyle w:val="Listavistosa-nfasis11"/>
        <w:ind w:left="0" w:hanging="851"/>
        <w:jc w:val="both"/>
        <w:rPr>
          <w:rFonts w:ascii="Arial" w:hAnsi="Arial" w:cs="Arial"/>
          <w:sz w:val="16"/>
          <w:szCs w:val="16"/>
          <w:lang w:val="es-ES" w:eastAsia="es-ES"/>
        </w:rPr>
      </w:pPr>
      <w:r w:rsidRPr="00E15892">
        <w:rPr>
          <w:rFonts w:ascii="Arial" w:hAnsi="Arial" w:cs="Arial"/>
          <w:bCs/>
          <w:sz w:val="16"/>
          <w:szCs w:val="16"/>
          <w:lang w:val="es-ES" w:eastAsia="es-ES"/>
        </w:rPr>
        <w:t>Revisó:</w:t>
      </w:r>
      <w:r w:rsidRPr="00E15892">
        <w:rPr>
          <w:rFonts w:ascii="Arial" w:hAnsi="Arial" w:cs="Arial"/>
          <w:sz w:val="16"/>
          <w:szCs w:val="16"/>
          <w:lang w:val="es-ES" w:eastAsia="es-ES"/>
        </w:rPr>
        <w:tab/>
        <w:t>Mauricio Herrera B., Coordinador Grupo de Asesoría Legal, Conceptos y Derechos de Petición/</w:t>
      </w:r>
      <w:r w:rsidR="009F252D" w:rsidRPr="00E15892">
        <w:rPr>
          <w:rFonts w:ascii="Arial" w:hAnsi="Arial" w:cs="Arial"/>
          <w:sz w:val="16"/>
          <w:szCs w:val="16"/>
        </w:rPr>
        <w:t xml:space="preserve"> </w:t>
      </w:r>
      <w:proofErr w:type="spellStart"/>
      <w:r w:rsidR="009F252D" w:rsidRPr="00E15892">
        <w:rPr>
          <w:rFonts w:ascii="Arial" w:hAnsi="Arial" w:cs="Arial"/>
          <w:sz w:val="16"/>
          <w:szCs w:val="16"/>
          <w:lang w:val="es-ES" w:eastAsia="es-ES"/>
        </w:rPr>
        <w:t>Yamid</w:t>
      </w:r>
      <w:proofErr w:type="spellEnd"/>
      <w:r w:rsidR="009F252D" w:rsidRPr="00E15892">
        <w:rPr>
          <w:rFonts w:ascii="Arial" w:hAnsi="Arial" w:cs="Arial"/>
          <w:sz w:val="16"/>
          <w:szCs w:val="16"/>
          <w:lang w:val="es-ES" w:eastAsia="es-ES"/>
        </w:rPr>
        <w:t xml:space="preserve"> Alexander Patiño Torres – Coordinador Grupo PCIU</w:t>
      </w:r>
      <w:r w:rsidRPr="00E15892">
        <w:rPr>
          <w:rFonts w:ascii="Arial" w:hAnsi="Arial" w:cs="Arial"/>
          <w:sz w:val="16"/>
          <w:szCs w:val="16"/>
          <w:lang w:val="es-ES" w:eastAsia="es-ES"/>
        </w:rPr>
        <w:t xml:space="preserve"> </w:t>
      </w:r>
    </w:p>
    <w:p w:rsidR="00E15892" w:rsidRPr="00E15892" w:rsidRDefault="00E15892" w:rsidP="00983D99">
      <w:pPr>
        <w:pStyle w:val="Listavistosa-nfasis11"/>
        <w:ind w:left="0" w:hanging="851"/>
        <w:jc w:val="both"/>
        <w:rPr>
          <w:rFonts w:ascii="Arial" w:hAnsi="Arial" w:cs="Arial"/>
          <w:sz w:val="16"/>
          <w:szCs w:val="16"/>
          <w:lang w:val="es-ES" w:eastAsia="es-ES"/>
        </w:rPr>
      </w:pPr>
      <w:r>
        <w:rPr>
          <w:rFonts w:ascii="Arial" w:hAnsi="Arial" w:cs="Arial"/>
          <w:sz w:val="16"/>
          <w:szCs w:val="16"/>
          <w:lang w:val="es-ES" w:eastAsia="es-ES"/>
        </w:rPr>
        <w:t xml:space="preserve">Proyectó: </w:t>
      </w:r>
      <w:r>
        <w:rPr>
          <w:rFonts w:ascii="Arial" w:hAnsi="Arial" w:cs="Arial"/>
          <w:sz w:val="16"/>
          <w:szCs w:val="16"/>
          <w:lang w:val="es-ES" w:eastAsia="es-ES"/>
        </w:rPr>
        <w:tab/>
        <w:t>Evita del Pilar Ospina Marín, Abogada Contratista de la OAJ</w:t>
      </w:r>
    </w:p>
    <w:sectPr w:rsidR="00E15892" w:rsidRPr="00E15892" w:rsidSect="0063712C">
      <w:headerReference w:type="default" r:id="rId7"/>
      <w:footerReference w:type="default" r:id="rId8"/>
      <w:headerReference w:type="first" r:id="rId9"/>
      <w:pgSz w:w="12240" w:h="15840" w:code="1"/>
      <w:pgMar w:top="1616" w:right="1701" w:bottom="1247"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FF1" w:rsidRDefault="00524FF1">
      <w:r>
        <w:separator/>
      </w:r>
    </w:p>
  </w:endnote>
  <w:endnote w:type="continuationSeparator" w:id="0">
    <w:p w:rsidR="00524FF1" w:rsidRDefault="0052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AA7" w:rsidRDefault="00ED17C4">
    <w:pPr>
      <w:pStyle w:val="Piedepgina"/>
      <w:jc w:val="right"/>
    </w:pPr>
    <w:r>
      <w:fldChar w:fldCharType="begin"/>
    </w:r>
    <w:r>
      <w:instrText>PAGE   \* MERGEFORMAT</w:instrText>
    </w:r>
    <w:r>
      <w:fldChar w:fldCharType="separate"/>
    </w:r>
    <w:r w:rsidR="00DE0AB7">
      <w:rPr>
        <w:noProof/>
      </w:rPr>
      <w:t>4</w:t>
    </w:r>
    <w:r>
      <w:fldChar w:fldCharType="end"/>
    </w:r>
  </w:p>
  <w:p w:rsidR="00713AA7" w:rsidRPr="0084294E" w:rsidRDefault="00524FF1" w:rsidP="00FA4A9E">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FF1" w:rsidRDefault="00524FF1">
      <w:r>
        <w:separator/>
      </w:r>
    </w:p>
  </w:footnote>
  <w:footnote w:type="continuationSeparator" w:id="0">
    <w:p w:rsidR="00524FF1" w:rsidRDefault="00524F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AA7" w:rsidRDefault="00524FF1">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713AA7" w:rsidTr="001447C1">
      <w:tc>
        <w:tcPr>
          <w:tcW w:w="4253" w:type="dxa"/>
          <w:shd w:val="clear" w:color="auto" w:fill="auto"/>
        </w:tcPr>
        <w:p w:rsidR="00713AA7" w:rsidRDefault="00ED17C4" w:rsidP="001447C1">
          <w:pPr>
            <w:pStyle w:val="Encabezado"/>
          </w:pPr>
          <w:r w:rsidRPr="00D965B1">
            <w:rPr>
              <w:noProof/>
              <w:lang w:val="es-CO" w:eastAsia="es-CO"/>
            </w:rPr>
            <w:drawing>
              <wp:inline distT="0" distB="0" distL="0" distR="0" wp14:anchorId="3AE09299" wp14:editId="5464D05F">
                <wp:extent cx="2562225" cy="53467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4670"/>
                        </a:xfrm>
                        <a:prstGeom prst="rect">
                          <a:avLst/>
                        </a:prstGeom>
                        <a:noFill/>
                        <a:ln>
                          <a:noFill/>
                        </a:ln>
                      </pic:spPr>
                    </pic:pic>
                  </a:graphicData>
                </a:graphic>
              </wp:inline>
            </w:drawing>
          </w:r>
        </w:p>
      </w:tc>
      <w:tc>
        <w:tcPr>
          <w:tcW w:w="6545" w:type="dxa"/>
          <w:shd w:val="clear" w:color="auto" w:fill="auto"/>
          <w:vAlign w:val="center"/>
        </w:tcPr>
        <w:p w:rsidR="00713AA7" w:rsidRDefault="00ED17C4" w:rsidP="001447C1">
          <w:pPr>
            <w:pStyle w:val="Ttulo2"/>
            <w:ind w:left="72" w:right="72"/>
            <w:rPr>
              <w:rFonts w:cs="Arial"/>
              <w:bCs/>
              <w:color w:val="000000"/>
              <w:sz w:val="24"/>
              <w:szCs w:val="24"/>
            </w:rPr>
          </w:pPr>
          <w:r w:rsidRPr="00FD3D04">
            <w:rPr>
              <w:rFonts w:cs="Arial"/>
              <w:bCs/>
              <w:color w:val="000000"/>
              <w:sz w:val="24"/>
              <w:szCs w:val="24"/>
            </w:rPr>
            <w:t>FORMATO MEMORIA JUSTIFICATIVA</w:t>
          </w:r>
        </w:p>
        <w:p w:rsidR="009B3282" w:rsidRDefault="00524FF1" w:rsidP="009B3282"/>
        <w:p w:rsidR="009B3282" w:rsidRDefault="00524FF1" w:rsidP="009B3282"/>
        <w:p w:rsidR="009B3282" w:rsidRPr="009B3282" w:rsidRDefault="00524FF1" w:rsidP="009B3282"/>
      </w:tc>
    </w:tr>
  </w:tbl>
  <w:p w:rsidR="00713AA7" w:rsidRDefault="00524FF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713AA7" w:rsidTr="00FD3D04">
      <w:tc>
        <w:tcPr>
          <w:tcW w:w="4253" w:type="dxa"/>
          <w:shd w:val="clear" w:color="auto" w:fill="auto"/>
        </w:tcPr>
        <w:p w:rsidR="00713AA7" w:rsidRDefault="00ED17C4">
          <w:pPr>
            <w:pStyle w:val="Encabezado"/>
          </w:pPr>
          <w:r w:rsidRPr="00D965B1">
            <w:rPr>
              <w:noProof/>
              <w:lang w:val="es-CO" w:eastAsia="es-CO"/>
            </w:rPr>
            <w:drawing>
              <wp:inline distT="0" distB="0" distL="0" distR="0" wp14:anchorId="3A9AAFB8" wp14:editId="5B53EC33">
                <wp:extent cx="2562225" cy="53467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4670"/>
                        </a:xfrm>
                        <a:prstGeom prst="rect">
                          <a:avLst/>
                        </a:prstGeom>
                        <a:noFill/>
                        <a:ln>
                          <a:noFill/>
                        </a:ln>
                      </pic:spPr>
                    </pic:pic>
                  </a:graphicData>
                </a:graphic>
              </wp:inline>
            </w:drawing>
          </w:r>
        </w:p>
      </w:tc>
      <w:tc>
        <w:tcPr>
          <w:tcW w:w="6545" w:type="dxa"/>
          <w:shd w:val="clear" w:color="auto" w:fill="auto"/>
          <w:vAlign w:val="center"/>
        </w:tcPr>
        <w:p w:rsidR="00713AA7" w:rsidRDefault="00ED17C4" w:rsidP="00FD3D04">
          <w:pPr>
            <w:pStyle w:val="Ttulo2"/>
            <w:ind w:left="72" w:right="72"/>
          </w:pPr>
          <w:r w:rsidRPr="00FD3D04">
            <w:rPr>
              <w:rFonts w:cs="Arial"/>
              <w:bCs/>
              <w:color w:val="000000"/>
              <w:sz w:val="24"/>
              <w:szCs w:val="24"/>
            </w:rPr>
            <w:t>FORMATO MEMORIA JUSTIFICATIVA</w:t>
          </w:r>
        </w:p>
      </w:tc>
    </w:tr>
  </w:tbl>
  <w:p w:rsidR="00713AA7" w:rsidRDefault="00524FF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0F13"/>
    <w:multiLevelType w:val="hybridMultilevel"/>
    <w:tmpl w:val="DBEEC7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522589"/>
    <w:multiLevelType w:val="multilevel"/>
    <w:tmpl w:val="7F1C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FD39A3"/>
    <w:multiLevelType w:val="hybridMultilevel"/>
    <w:tmpl w:val="E4D2E256"/>
    <w:lvl w:ilvl="0" w:tplc="EAA8F178">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A96B7E"/>
    <w:multiLevelType w:val="hybridMultilevel"/>
    <w:tmpl w:val="40DED7F8"/>
    <w:lvl w:ilvl="0" w:tplc="EAA8F178">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CF3375"/>
    <w:multiLevelType w:val="multilevel"/>
    <w:tmpl w:val="BCCC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183A7E"/>
    <w:multiLevelType w:val="multilevel"/>
    <w:tmpl w:val="88AA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77196C"/>
    <w:multiLevelType w:val="hybridMultilevel"/>
    <w:tmpl w:val="EDC8C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69A724D"/>
    <w:multiLevelType w:val="multilevel"/>
    <w:tmpl w:val="9AA8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E22437"/>
    <w:multiLevelType w:val="hybridMultilevel"/>
    <w:tmpl w:val="DCC033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A22DDD"/>
    <w:multiLevelType w:val="hybridMultilevel"/>
    <w:tmpl w:val="31D63EF2"/>
    <w:lvl w:ilvl="0" w:tplc="001C8C5C">
      <w:start w:val="1"/>
      <w:numFmt w:val="decimal"/>
      <w:lvlText w:val="%1."/>
      <w:lvlJc w:val="left"/>
      <w:pPr>
        <w:ind w:left="1070"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5A7440"/>
    <w:multiLevelType w:val="multilevel"/>
    <w:tmpl w:val="37C0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3D5394"/>
    <w:multiLevelType w:val="hybridMultilevel"/>
    <w:tmpl w:val="54944C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10"/>
  </w:num>
  <w:num w:numId="4">
    <w:abstractNumId w:val="3"/>
  </w:num>
  <w:num w:numId="5">
    <w:abstractNumId w:val="0"/>
  </w:num>
  <w:num w:numId="6">
    <w:abstractNumId w:val="2"/>
  </w:num>
  <w:num w:numId="7">
    <w:abstractNumId w:val="12"/>
  </w:num>
  <w:num w:numId="8">
    <w:abstractNumId w:val="6"/>
  </w:num>
  <w:num w:numId="9">
    <w:abstractNumId w:val="4"/>
  </w:num>
  <w:num w:numId="10">
    <w:abstractNumId w:val="1"/>
  </w:num>
  <w:num w:numId="11">
    <w:abstractNumId w:val="8"/>
  </w:num>
  <w:num w:numId="12">
    <w:abstractNumId w:val="7"/>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99"/>
    <w:rsid w:val="000273C1"/>
    <w:rsid w:val="00075546"/>
    <w:rsid w:val="00080399"/>
    <w:rsid w:val="00094898"/>
    <w:rsid w:val="0013186A"/>
    <w:rsid w:val="00153D1D"/>
    <w:rsid w:val="001A2953"/>
    <w:rsid w:val="001B5A2A"/>
    <w:rsid w:val="00207B73"/>
    <w:rsid w:val="00253C4A"/>
    <w:rsid w:val="002E0323"/>
    <w:rsid w:val="003D52E3"/>
    <w:rsid w:val="003E6975"/>
    <w:rsid w:val="004C75CB"/>
    <w:rsid w:val="00502912"/>
    <w:rsid w:val="00524FF1"/>
    <w:rsid w:val="00534082"/>
    <w:rsid w:val="005B4E4D"/>
    <w:rsid w:val="0065159E"/>
    <w:rsid w:val="00685CED"/>
    <w:rsid w:val="006D58D8"/>
    <w:rsid w:val="007317BA"/>
    <w:rsid w:val="008B7DC0"/>
    <w:rsid w:val="00983D99"/>
    <w:rsid w:val="009C3215"/>
    <w:rsid w:val="009F1C71"/>
    <w:rsid w:val="009F252D"/>
    <w:rsid w:val="00A9296B"/>
    <w:rsid w:val="00B07B55"/>
    <w:rsid w:val="00BA2799"/>
    <w:rsid w:val="00BB0F98"/>
    <w:rsid w:val="00C009CC"/>
    <w:rsid w:val="00C243A5"/>
    <w:rsid w:val="00CD700F"/>
    <w:rsid w:val="00CF6B42"/>
    <w:rsid w:val="00DE0AB7"/>
    <w:rsid w:val="00E15892"/>
    <w:rsid w:val="00EB4214"/>
    <w:rsid w:val="00EC24BB"/>
    <w:rsid w:val="00ED17C4"/>
    <w:rsid w:val="00F15A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0BFF"/>
  <w15:chartTrackingRefBased/>
  <w15:docId w15:val="{F42D3CDD-F17A-46FC-92BF-2A90411E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D99"/>
    <w:pPr>
      <w:spacing w:after="0" w:line="240" w:lineRule="auto"/>
    </w:pPr>
    <w:rPr>
      <w:rFonts w:ascii="Arial" w:eastAsia="Times New Roman" w:hAnsi="Arial" w:cs="Times New Roman"/>
      <w:sz w:val="20"/>
      <w:szCs w:val="20"/>
      <w:lang w:val="es-ES" w:eastAsia="es-ES"/>
    </w:rPr>
  </w:style>
  <w:style w:type="paragraph" w:styleId="Ttulo2">
    <w:name w:val="heading 2"/>
    <w:basedOn w:val="Normal"/>
    <w:next w:val="Normal"/>
    <w:link w:val="Ttulo2Car"/>
    <w:qFormat/>
    <w:rsid w:val="00983D99"/>
    <w:pPr>
      <w:keepNext/>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83D99"/>
    <w:rPr>
      <w:rFonts w:ascii="Arial" w:eastAsia="Times New Roman" w:hAnsi="Arial" w:cs="Times New Roman"/>
      <w:b/>
      <w:sz w:val="20"/>
      <w:szCs w:val="20"/>
      <w:lang w:val="es-ES" w:eastAsia="es-ES"/>
    </w:rPr>
  </w:style>
  <w:style w:type="paragraph" w:styleId="Encabezado">
    <w:name w:val="header"/>
    <w:basedOn w:val="Normal"/>
    <w:link w:val="EncabezadoCar"/>
    <w:rsid w:val="00983D99"/>
    <w:pPr>
      <w:tabs>
        <w:tab w:val="center" w:pos="4252"/>
        <w:tab w:val="right" w:pos="8504"/>
      </w:tabs>
    </w:pPr>
  </w:style>
  <w:style w:type="character" w:customStyle="1" w:styleId="EncabezadoCar">
    <w:name w:val="Encabezado Car"/>
    <w:basedOn w:val="Fuentedeprrafopredeter"/>
    <w:link w:val="Encabezado"/>
    <w:rsid w:val="00983D99"/>
    <w:rPr>
      <w:rFonts w:ascii="Arial" w:eastAsia="Times New Roman" w:hAnsi="Arial" w:cs="Times New Roman"/>
      <w:sz w:val="20"/>
      <w:szCs w:val="20"/>
      <w:lang w:val="es-ES" w:eastAsia="es-ES"/>
    </w:rPr>
  </w:style>
  <w:style w:type="paragraph" w:styleId="Piedepgina">
    <w:name w:val="footer"/>
    <w:basedOn w:val="Normal"/>
    <w:link w:val="PiedepginaCar"/>
    <w:uiPriority w:val="99"/>
    <w:rsid w:val="00983D99"/>
    <w:pPr>
      <w:tabs>
        <w:tab w:val="center" w:pos="4252"/>
        <w:tab w:val="right" w:pos="8504"/>
      </w:tabs>
    </w:pPr>
  </w:style>
  <w:style w:type="character" w:customStyle="1" w:styleId="PiedepginaCar">
    <w:name w:val="Pie de página Car"/>
    <w:basedOn w:val="Fuentedeprrafopredeter"/>
    <w:link w:val="Piedepgina"/>
    <w:uiPriority w:val="99"/>
    <w:rsid w:val="00983D99"/>
    <w:rPr>
      <w:rFonts w:ascii="Arial" w:eastAsia="Times New Roman" w:hAnsi="Arial" w:cs="Times New Roman"/>
      <w:sz w:val="20"/>
      <w:szCs w:val="20"/>
      <w:lang w:val="es-ES" w:eastAsia="es-ES"/>
    </w:rPr>
  </w:style>
  <w:style w:type="paragraph" w:customStyle="1" w:styleId="Listavistosa-nfasis11">
    <w:name w:val="Lista vistosa - Énfasis 11"/>
    <w:aliases w:val="Normal. Viñetas"/>
    <w:basedOn w:val="Normal"/>
    <w:link w:val="Listavistosa-nfasis1Car"/>
    <w:uiPriority w:val="34"/>
    <w:qFormat/>
    <w:rsid w:val="00983D99"/>
    <w:pPr>
      <w:spacing w:after="200" w:line="276" w:lineRule="auto"/>
      <w:ind w:left="720"/>
      <w:contextualSpacing/>
    </w:pPr>
    <w:rPr>
      <w:rFonts w:ascii="Calibri" w:hAnsi="Calibri"/>
      <w:sz w:val="22"/>
      <w:szCs w:val="22"/>
      <w:lang w:val="es-CO" w:eastAsia="es-CO"/>
    </w:rPr>
  </w:style>
  <w:style w:type="character" w:customStyle="1" w:styleId="Listavistosa-nfasis1Car">
    <w:name w:val="Lista vistosa - Énfasis 1 Car"/>
    <w:aliases w:val="Normal. Viñetas Car"/>
    <w:link w:val="Listavistosa-nfasis11"/>
    <w:uiPriority w:val="34"/>
    <w:locked/>
    <w:rsid w:val="00983D99"/>
    <w:rPr>
      <w:rFonts w:ascii="Calibri" w:eastAsia="Times New Roman" w:hAnsi="Calibri" w:cs="Times New Roman"/>
      <w:lang w:eastAsia="es-CO"/>
    </w:rPr>
  </w:style>
  <w:style w:type="paragraph" w:styleId="Prrafodelista">
    <w:name w:val="List Paragraph"/>
    <w:basedOn w:val="Normal"/>
    <w:link w:val="PrrafodelistaCar"/>
    <w:uiPriority w:val="34"/>
    <w:qFormat/>
    <w:rsid w:val="00983D99"/>
    <w:pPr>
      <w:ind w:left="708"/>
    </w:pPr>
  </w:style>
  <w:style w:type="character" w:customStyle="1" w:styleId="PrrafodelistaCar">
    <w:name w:val="Párrafo de lista Car"/>
    <w:basedOn w:val="Fuentedeprrafopredeter"/>
    <w:link w:val="Prrafodelista"/>
    <w:uiPriority w:val="34"/>
    <w:rsid w:val="00983D99"/>
    <w:rPr>
      <w:rFonts w:ascii="Arial" w:eastAsia="Times New Roman" w:hAnsi="Arial" w:cs="Times New Roman"/>
      <w:sz w:val="20"/>
      <w:szCs w:val="20"/>
      <w:lang w:val="es-ES" w:eastAsia="es-ES"/>
    </w:rPr>
  </w:style>
  <w:style w:type="paragraph" w:customStyle="1" w:styleId="Default">
    <w:name w:val="Default"/>
    <w:rsid w:val="00983D99"/>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983D99"/>
    <w:pPr>
      <w:spacing w:before="100" w:beforeAutospacing="1" w:after="100" w:afterAutospacing="1"/>
    </w:pPr>
    <w:rPr>
      <w:rFonts w:ascii="Times New Roman" w:hAnsi="Times New Roman"/>
      <w:sz w:val="24"/>
      <w:szCs w:val="24"/>
      <w:lang w:val="es-CO" w:eastAsia="es-CO"/>
    </w:rPr>
  </w:style>
  <w:style w:type="character" w:customStyle="1" w:styleId="normaltextrun">
    <w:name w:val="normaltextrun"/>
    <w:basedOn w:val="Fuentedeprrafopredeter"/>
    <w:rsid w:val="00983D99"/>
  </w:style>
  <w:style w:type="character" w:customStyle="1" w:styleId="eop">
    <w:name w:val="eop"/>
    <w:basedOn w:val="Fuentedeprrafopredeter"/>
    <w:rsid w:val="00983D99"/>
  </w:style>
  <w:style w:type="paragraph" w:styleId="Textoindependiente">
    <w:name w:val="Body Text"/>
    <w:basedOn w:val="Normal"/>
    <w:link w:val="TextoindependienteCar"/>
    <w:uiPriority w:val="1"/>
    <w:qFormat/>
    <w:rsid w:val="00983D99"/>
    <w:pPr>
      <w:widowControl w:val="0"/>
      <w:autoSpaceDE w:val="0"/>
      <w:autoSpaceDN w:val="0"/>
      <w:ind w:left="100"/>
    </w:pPr>
    <w:rPr>
      <w:rFonts w:ascii="Calibri Light" w:eastAsia="Calibri Light" w:hAnsi="Calibri Light" w:cs="Calibri Light"/>
      <w:sz w:val="22"/>
      <w:szCs w:val="22"/>
      <w:lang w:bidi="es-ES"/>
    </w:rPr>
  </w:style>
  <w:style w:type="character" w:customStyle="1" w:styleId="TextoindependienteCar">
    <w:name w:val="Texto independiente Car"/>
    <w:basedOn w:val="Fuentedeprrafopredeter"/>
    <w:link w:val="Textoindependiente"/>
    <w:uiPriority w:val="1"/>
    <w:rsid w:val="00983D99"/>
    <w:rPr>
      <w:rFonts w:ascii="Calibri Light" w:eastAsia="Calibri Light" w:hAnsi="Calibri Light" w:cs="Calibri Light"/>
      <w:lang w:val="es-ES" w:eastAsia="es-ES" w:bidi="es-ES"/>
    </w:rPr>
  </w:style>
  <w:style w:type="paragraph" w:styleId="Textoindependiente2">
    <w:name w:val="Body Text 2"/>
    <w:basedOn w:val="Normal"/>
    <w:link w:val="Textoindependiente2Car"/>
    <w:uiPriority w:val="99"/>
    <w:unhideWhenUsed/>
    <w:rsid w:val="00CD700F"/>
    <w:pPr>
      <w:spacing w:after="120" w:line="480" w:lineRule="auto"/>
    </w:pPr>
    <w:rPr>
      <w:rFonts w:ascii="Arial Narrow" w:eastAsia="MS Mincho" w:hAnsi="Arial Narrow"/>
      <w:sz w:val="24"/>
      <w:szCs w:val="24"/>
    </w:rPr>
  </w:style>
  <w:style w:type="character" w:customStyle="1" w:styleId="Textoindependiente2Car">
    <w:name w:val="Texto independiente 2 Car"/>
    <w:basedOn w:val="Fuentedeprrafopredeter"/>
    <w:link w:val="Textoindependiente2"/>
    <w:uiPriority w:val="99"/>
    <w:rsid w:val="00CD700F"/>
    <w:rPr>
      <w:rFonts w:ascii="Arial Narrow" w:eastAsia="MS Mincho" w:hAnsi="Arial Narrow" w:cs="Times New Roman"/>
      <w:sz w:val="24"/>
      <w:szCs w:val="24"/>
      <w:lang w:val="es-ES" w:eastAsia="es-ES"/>
    </w:rPr>
  </w:style>
  <w:style w:type="character" w:styleId="Refdecomentario">
    <w:name w:val="annotation reference"/>
    <w:basedOn w:val="Fuentedeprrafopredeter"/>
    <w:uiPriority w:val="99"/>
    <w:semiHidden/>
    <w:unhideWhenUsed/>
    <w:rsid w:val="009F252D"/>
    <w:rPr>
      <w:sz w:val="16"/>
      <w:szCs w:val="16"/>
    </w:rPr>
  </w:style>
  <w:style w:type="paragraph" w:styleId="Textocomentario">
    <w:name w:val="annotation text"/>
    <w:basedOn w:val="Normal"/>
    <w:link w:val="TextocomentarioCar"/>
    <w:uiPriority w:val="99"/>
    <w:unhideWhenUsed/>
    <w:rsid w:val="009F252D"/>
    <w:rPr>
      <w:rFonts w:ascii="Arial Narrow" w:eastAsia="MS Mincho" w:hAnsi="Arial Narrow"/>
    </w:rPr>
  </w:style>
  <w:style w:type="character" w:customStyle="1" w:styleId="TextocomentarioCar">
    <w:name w:val="Texto comentario Car"/>
    <w:basedOn w:val="Fuentedeprrafopredeter"/>
    <w:link w:val="Textocomentario"/>
    <w:uiPriority w:val="99"/>
    <w:rsid w:val="009F252D"/>
    <w:rPr>
      <w:rFonts w:ascii="Arial Narrow" w:eastAsia="MS Mincho" w:hAnsi="Arial Narrow" w:cs="Times New Roman"/>
      <w:sz w:val="20"/>
      <w:szCs w:val="20"/>
      <w:lang w:val="es-ES" w:eastAsia="es-ES"/>
    </w:rPr>
  </w:style>
  <w:style w:type="paragraph" w:styleId="Textodeglobo">
    <w:name w:val="Balloon Text"/>
    <w:basedOn w:val="Normal"/>
    <w:link w:val="TextodegloboCar"/>
    <w:uiPriority w:val="99"/>
    <w:semiHidden/>
    <w:unhideWhenUsed/>
    <w:rsid w:val="009F25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252D"/>
    <w:rPr>
      <w:rFonts w:ascii="Segoe UI" w:eastAsia="Times New Roman" w:hAnsi="Segoe UI" w:cs="Segoe UI"/>
      <w:sz w:val="18"/>
      <w:szCs w:val="18"/>
      <w:lang w:val="es-ES" w:eastAsia="es-ES"/>
    </w:rPr>
  </w:style>
  <w:style w:type="paragraph" w:styleId="Sinespaciado">
    <w:name w:val="No Spacing"/>
    <w:link w:val="SinespaciadoCar"/>
    <w:uiPriority w:val="1"/>
    <w:qFormat/>
    <w:rsid w:val="005B4E4D"/>
    <w:pPr>
      <w:spacing w:after="0" w:line="240" w:lineRule="auto"/>
    </w:pPr>
    <w:rPr>
      <w:rFonts w:ascii="Calibri" w:eastAsia="Times New Roman" w:hAnsi="Calibri" w:cs="Times New Roman"/>
      <w:sz w:val="24"/>
      <w:szCs w:val="24"/>
      <w:lang w:val="es-ES_tradnl" w:eastAsia="es-ES"/>
    </w:rPr>
  </w:style>
  <w:style w:type="character" w:customStyle="1" w:styleId="SinespaciadoCar">
    <w:name w:val="Sin espaciado Car"/>
    <w:link w:val="Sinespaciado"/>
    <w:uiPriority w:val="1"/>
    <w:rsid w:val="005B4E4D"/>
    <w:rPr>
      <w:rFonts w:ascii="Calibri" w:eastAsia="Times New Roman" w:hAnsi="Calibri"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H7EN5MXTHQNV-429570507-3216</_dlc_DocId>
    <_dlc_DocIdUrl xmlns="ae9388c0-b1e2-40ea-b6a8-c51c7913cbd2">
      <Url>https://mng.mincultura.gov.co/ministerio/transparencia-y-acceso-a-informacion-publica/publicidad%20de%20proyectos%20de%20especificos%20de%20regulacion/_layouts/15/DocIdRedir.aspx?ID=H7EN5MXTHQNV-429570507-3216</Url>
      <Description>H7EN5MXTHQNV-429570507-3216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8A371-01BC-45FC-9A75-37EE18CAE724}"/>
</file>

<file path=customXml/itemProps2.xml><?xml version="1.0" encoding="utf-8"?>
<ds:datastoreItem xmlns:ds="http://schemas.openxmlformats.org/officeDocument/2006/customXml" ds:itemID="{01FED0B7-70FF-41E1-B195-05DE819CD7D4}"/>
</file>

<file path=customXml/itemProps3.xml><?xml version="1.0" encoding="utf-8"?>
<ds:datastoreItem xmlns:ds="http://schemas.openxmlformats.org/officeDocument/2006/customXml" ds:itemID="{C184FA05-85C7-423C-831B-C352B37CFD8F}"/>
</file>

<file path=customXml/itemProps4.xml><?xml version="1.0" encoding="utf-8"?>
<ds:datastoreItem xmlns:ds="http://schemas.openxmlformats.org/officeDocument/2006/customXml" ds:itemID="{EB257F9C-A29D-46C7-8F86-E0F3AA719393}"/>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8140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Herrera Bermudez</dc:creator>
  <cp:keywords/>
  <dc:description/>
  <cp:lastModifiedBy>Evita Ospina</cp:lastModifiedBy>
  <cp:revision>3</cp:revision>
  <dcterms:created xsi:type="dcterms:W3CDTF">2022-03-11T17:33:00Z</dcterms:created>
  <dcterms:modified xsi:type="dcterms:W3CDTF">2022-03-11T17:33:00Z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d407bd48-5062-404b-88a3-74e221377fad</vt:lpwstr>
  </property>
</Properties>
</file>